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72D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2DF3" w:rsidRDefault="00BC5F4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72DF3" w:rsidRDefault="00BC5F47">
            <w:pPr>
              <w:spacing w:after="0" w:line="240" w:lineRule="auto"/>
            </w:pPr>
            <w:r>
              <w:t>13053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2DF3" w:rsidRDefault="00BC5F4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72DF3" w:rsidRDefault="00BC5F47">
            <w:pPr>
              <w:spacing w:after="0" w:line="240" w:lineRule="auto"/>
            </w:pPr>
            <w:r>
              <w:t>Osnovna škola BARTULA KAŠIĆA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2DF3" w:rsidRDefault="00BC5F4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72DF3" w:rsidRDefault="00BC5F47">
            <w:pPr>
              <w:spacing w:after="0" w:line="240" w:lineRule="auto"/>
            </w:pPr>
            <w:r>
              <w:t>31</w:t>
            </w:r>
          </w:p>
        </w:tc>
      </w:tr>
    </w:tbl>
    <w:p w:rsidR="00E72DF3" w:rsidRDefault="00BC5F47">
      <w:r>
        <w:br/>
      </w:r>
    </w:p>
    <w:p w:rsidR="00E72DF3" w:rsidRDefault="00BC5F4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72DF3" w:rsidRDefault="00BC5F4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72DF3" w:rsidRDefault="00BC5F47">
      <w:pPr>
        <w:spacing w:line="240" w:lineRule="auto"/>
        <w:jc w:val="center"/>
      </w:pPr>
      <w:proofErr w:type="gramStart"/>
      <w:r>
        <w:rPr>
          <w:b/>
          <w:sz w:val="28"/>
        </w:rPr>
        <w:t>I - XII 2025.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1.</w:t>
      </w:r>
      <w:proofErr w:type="gramEnd"/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4.204.660,03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4.581.653,18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4.108.178,02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4.690.083,82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108.430,64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197.288,73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135.722,18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197.288,73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145,4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39.240,17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305.719,37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779,1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Podskupina 193 ukinuta je s danom 01.01.2025.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neće se više koristiti za evidentiranje kontinuiranih rashoda u 2025. </w:t>
      </w:r>
      <w:proofErr w:type="gramStart"/>
      <w:r>
        <w:t>godini</w:t>
      </w:r>
      <w:proofErr w:type="gramEnd"/>
      <w:r>
        <w:t xml:space="preserve"> i nadalje. </w:t>
      </w:r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knjižit će se trinaest rashoda </w:t>
      </w:r>
      <w:r>
        <w:lastRenderedPageBreak/>
        <w:t>odnosno jedan rashod više. Zbog takve evidencije manjak prihoda i primitak</w:t>
      </w:r>
      <w:r>
        <w:t xml:space="preserve">a je puno veći u odnosu </w:t>
      </w:r>
      <w:proofErr w:type="gramStart"/>
      <w:r>
        <w:t>na</w:t>
      </w:r>
      <w:proofErr w:type="gramEnd"/>
      <w:r>
        <w:t xml:space="preserve"> isto izvještajno razdoblje prošle godine. Knjiženo je 13 rashoda u odnosu </w:t>
      </w:r>
      <w:proofErr w:type="gramStart"/>
      <w:r>
        <w:t>na</w:t>
      </w:r>
      <w:proofErr w:type="gramEnd"/>
      <w:r>
        <w:t xml:space="preserve"> 12 rashoda prošle godine.</w:t>
      </w:r>
    </w:p>
    <w:p w:rsidR="00E72DF3" w:rsidRDefault="00BC5F47">
      <w:r>
        <w:t xml:space="preserve">Manjak prihoda </w:t>
      </w:r>
      <w:proofErr w:type="gramStart"/>
      <w:r>
        <w:t>od</w:t>
      </w:r>
      <w:proofErr w:type="gramEnd"/>
      <w:r>
        <w:t xml:space="preserve"> nefinancijske imovine nastao je zbog financiranja iz vlastitih sredstava i prihoda za koje će se izvršiti ob</w:t>
      </w:r>
      <w:r>
        <w:t xml:space="preserve">vezna korekcija rezultata (6712, 6632 i 6362). Odlukom o raspodjeli rezultata pokrit </w:t>
      </w:r>
      <w:proofErr w:type="gramStart"/>
      <w:r>
        <w:t>će</w:t>
      </w:r>
      <w:proofErr w:type="gramEnd"/>
      <w:r>
        <w:t xml:space="preserve"> se manjak koji je nastao zbog financiranja iz vlastitih sredstava.</w:t>
      </w:r>
    </w:p>
    <w:p w:rsidR="00E72DF3" w:rsidRDefault="00BC5F47">
      <w:r>
        <w:br/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Odnosi se </w:t>
      </w:r>
      <w:proofErr w:type="gramStart"/>
      <w:r>
        <w:t>na</w:t>
      </w:r>
      <w:proofErr w:type="gramEnd"/>
      <w:r>
        <w:t xml:space="preserve"> novac dobiven za projekt SHORE iz Turske (Obzor). </w:t>
      </w:r>
      <w:proofErr w:type="gramStart"/>
      <w:r>
        <w:t>U 2024.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uplaćeno je 80% sredstava, a u 2025. </w:t>
      </w:r>
      <w:proofErr w:type="gramStart"/>
      <w:r>
        <w:t>godini</w:t>
      </w:r>
      <w:proofErr w:type="gramEnd"/>
      <w:r>
        <w:t xml:space="preserve"> 20% po završnom izvješću. </w:t>
      </w:r>
      <w:proofErr w:type="gramStart"/>
      <w:r>
        <w:t>Za višak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1.134,77 eura napravljena je korekcija rezultata i iskazana obveza za predujam. </w:t>
      </w:r>
      <w:proofErr w:type="gramStart"/>
      <w:r>
        <w:t>Projek</w:t>
      </w:r>
      <w:r>
        <w:t>t je završio 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>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Nije se kupovala dugotrajna imovina u 2025.</w:t>
      </w:r>
      <w:proofErr w:type="gramEnd"/>
      <w:r>
        <w:t xml:space="preserve"> </w:t>
      </w:r>
      <w:proofErr w:type="gramStart"/>
      <w:r>
        <w:t>iz</w:t>
      </w:r>
      <w:proofErr w:type="gramEnd"/>
      <w:r>
        <w:t xml:space="preserve"> projekta SHORE.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18.332,20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33.672,02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lastRenderedPageBreak/>
        <w:t>Povećano zbog kupnje više udžbenika za učenike i lektire.</w:t>
      </w:r>
      <w:proofErr w:type="gramEnd"/>
      <w:r>
        <w:t xml:space="preserve"> Zbog starosti dosta udžbenika nije više bilo za upotrebu pa su kupljeni </w:t>
      </w:r>
      <w:proofErr w:type="gramStart"/>
      <w:r>
        <w:t>novi</w:t>
      </w:r>
      <w:proofErr w:type="gramEnd"/>
      <w:r>
        <w:t>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11.081,15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Odnosi se </w:t>
      </w:r>
      <w:proofErr w:type="gramStart"/>
      <w:r>
        <w:t>na</w:t>
      </w:r>
      <w:proofErr w:type="gramEnd"/>
      <w:r>
        <w:t xml:space="preserve"> pomoćnike u nastavi.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</w:t>
            </w:r>
            <w:r>
              <w:rPr>
                <w:sz w:val="18"/>
              </w:rPr>
              <w:t xml:space="preserve">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72.860,04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27.988,09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Odnosi se </w:t>
      </w:r>
      <w:proofErr w:type="gramStart"/>
      <w:r>
        <w:t>na</w:t>
      </w:r>
      <w:proofErr w:type="gramEnd"/>
      <w:r>
        <w:t xml:space="preserve"> pomoćnike u nastavi i školsku shemu.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Odnosi se </w:t>
      </w:r>
      <w:proofErr w:type="gramStart"/>
      <w:r>
        <w:t>na</w:t>
      </w:r>
      <w:proofErr w:type="gramEnd"/>
      <w:r>
        <w:t xml:space="preserve"> prodaju proizvoda učeničke zadruge. </w:t>
      </w:r>
      <w:proofErr w:type="gramStart"/>
      <w:r>
        <w:t>Više prodanih proizvoda.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lastRenderedPageBreak/>
        <w:t xml:space="preserve">Odnosi se </w:t>
      </w:r>
      <w:proofErr w:type="gramStart"/>
      <w:r>
        <w:t>na</w:t>
      </w:r>
      <w:proofErr w:type="gramEnd"/>
      <w:r>
        <w:t xml:space="preserve"> najam školskog prostora. </w:t>
      </w:r>
      <w:proofErr w:type="gramStart"/>
      <w:r>
        <w:t>Više korisnika.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Smanjen zbog manjeg broja donacija u odnosu </w:t>
      </w:r>
      <w:proofErr w:type="gramStart"/>
      <w:r>
        <w:t>na</w:t>
      </w:r>
      <w:proofErr w:type="gramEnd"/>
      <w:r>
        <w:t xml:space="preserve"> isto izvještajno razdoblje prošle godine: </w:t>
      </w:r>
    </w:p>
    <w:p w:rsidR="00E72DF3" w:rsidRDefault="00BC5F47">
      <w:r>
        <w:t> 50</w:t>
      </w:r>
      <w:proofErr w:type="gramStart"/>
      <w:r>
        <w:t>,00</w:t>
      </w:r>
      <w:proofErr w:type="gramEnd"/>
      <w:r>
        <w:t xml:space="preserve"> eura donacija za natjecanje iz tehničke kulture </w:t>
      </w:r>
    </w:p>
    <w:p w:rsidR="00E72DF3" w:rsidRDefault="00BC5F47">
      <w:r>
        <w:t> 287</w:t>
      </w:r>
      <w:proofErr w:type="gramStart"/>
      <w:r>
        <w:t>,60</w:t>
      </w:r>
      <w:proofErr w:type="gramEnd"/>
      <w:r>
        <w:t xml:space="preserve"> eura ŠZGZ za voditelje natjecanja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>Smanjen zbog manjeg iznosa donacija:</w:t>
      </w:r>
    </w:p>
    <w:p w:rsidR="00E72DF3" w:rsidRDefault="00BC5F47">
      <w:r>
        <w:t>213</w:t>
      </w:r>
      <w:proofErr w:type="gramStart"/>
      <w:r>
        <w:t>,50</w:t>
      </w:r>
      <w:proofErr w:type="gramEnd"/>
      <w:r>
        <w:t xml:space="preserve"> eura donacija lektire i stručne literature od fizičkih osoba</w:t>
      </w:r>
    </w:p>
    <w:p w:rsidR="00E72DF3" w:rsidRDefault="00BC5F47">
      <w:r>
        <w:t xml:space="preserve">2.280,00 eura donacija namještaja </w:t>
      </w:r>
      <w:proofErr w:type="gramStart"/>
      <w:r>
        <w:t>od</w:t>
      </w:r>
      <w:proofErr w:type="gramEnd"/>
      <w:r>
        <w:t xml:space="preserve"> Erste banke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</w:t>
            </w:r>
            <w:r>
              <w:rPr>
                <w:sz w:val="18"/>
              </w:rPr>
              <w:t>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507.460,45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625.084,85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Povećani zbog </w:t>
      </w:r>
      <w:proofErr w:type="gramStart"/>
      <w:r>
        <w:t>rasta</w:t>
      </w:r>
      <w:proofErr w:type="gramEnd"/>
      <w:r>
        <w:t xml:space="preserve"> plaća i Centra za darovite.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12.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99.647,25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141.171,21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Povećani zbog više nabava i ulaganja u odnosu </w:t>
      </w:r>
      <w:proofErr w:type="gramStart"/>
      <w:r>
        <w:t>na</w:t>
      </w:r>
      <w:proofErr w:type="gramEnd"/>
      <w:r>
        <w:t xml:space="preserve"> isto izvještajno razdoblje prošle godine.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2.847.346,30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3.317.392,01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Povećane zbog </w:t>
      </w:r>
      <w:proofErr w:type="gramStart"/>
      <w:r>
        <w:t>rasta</w:t>
      </w:r>
      <w:proofErr w:type="gramEnd"/>
      <w:r>
        <w:t xml:space="preserve"> plaća i knjiženja 13 rashoda u ovom izvještajnom razdoblju zbog ukidanja kontinuiranih rashoda.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452.888,11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523.774,17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 zbog </w:t>
      </w:r>
      <w:proofErr w:type="gramStart"/>
      <w:r>
        <w:t>rasta</w:t>
      </w:r>
      <w:proofErr w:type="gramEnd"/>
      <w:r>
        <w:t xml:space="preserve"> plaća i knjiženja 13 rashoda u ovom izvještajnom razdoblju zbog ukidanja kontinuiranih rashoda.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Službena putovanja smanjena zbog manje odlazaka </w:t>
      </w:r>
      <w:proofErr w:type="gramStart"/>
      <w:r>
        <w:t>na</w:t>
      </w:r>
      <w:proofErr w:type="gramEnd"/>
      <w:r>
        <w:t xml:space="preserve"> službeni put zbog razdoblja privremenog financiranja i ograničenih sredstava.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Povećano zbog više cijene kotizacija za stručna usavršavanja.</w:t>
      </w:r>
      <w:proofErr w:type="gramEnd"/>
      <w:r>
        <w:t> 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38.166,98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43.637,79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Povećan zbog materijala za projekte i poskupljenja materijala općenito.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53.341,62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Smanjena zbog manje nabavke lož ulja i uvođenja odredbe Vlade RH za struju.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19.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</w:t>
            </w:r>
            <w:r>
              <w:rPr>
                <w:sz w:val="18"/>
              </w:rPr>
              <w:t>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Nabavka materijala za tekuće i investicijsko održavanje zbog više popravaka.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20.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Smanjen zbog manje nabave sitnog inventara.</w:t>
      </w:r>
      <w:proofErr w:type="gramEnd"/>
      <w:r>
        <w:t xml:space="preserve"> </w:t>
      </w:r>
      <w:proofErr w:type="gramStart"/>
      <w:r>
        <w:t>U 2024.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više nabavki SI iz projekata i za školsku kuhinju.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20.854,64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Promjena brava </w:t>
      </w:r>
      <w:proofErr w:type="gramStart"/>
      <w:r>
        <w:t>na</w:t>
      </w:r>
      <w:proofErr w:type="gramEnd"/>
      <w:r>
        <w:t xml:space="preserve"> svim vratima u matičnoj školi i područnim školama zbog sigurnosnih mjera ulaska u školu, izmjena podova u učionicama, korometrijsko ispitivanje spremnika za lož ulje, servis vatrogasnih aparata.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Povećane zbog više objava javnih nabava za kuhinju i udžbenike.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21.408,54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Smanjene zbog manjih računa </w:t>
      </w:r>
      <w:proofErr w:type="gramStart"/>
      <w:r>
        <w:t>od</w:t>
      </w:r>
      <w:proofErr w:type="gramEnd"/>
      <w:r>
        <w:t xml:space="preserve"> Čistoće d.o.o.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14.431,35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310,6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Povećane zbog odlaska </w:t>
      </w:r>
      <w:proofErr w:type="gramStart"/>
      <w:r>
        <w:t>na</w:t>
      </w:r>
      <w:proofErr w:type="gramEnd"/>
      <w:r>
        <w:t xml:space="preserve"> sistematske preglede djelatnika mlađih od 50 godina kojih je brojem više u odnosu na djelatnike starije od 50 godina.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10.140,78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>Smanjene zbog manje troškova u odnosu na isto izvještajno razdoblje prošle godine u kojem smo imali isplatu tima za „Psihološku kriznu intervenciju</w:t>
      </w:r>
      <w:proofErr w:type="gramStart"/>
      <w:r>
        <w:t>“ i</w:t>
      </w:r>
      <w:proofErr w:type="gramEnd"/>
      <w:r>
        <w:t xml:space="preserve"> izradu idejnog i glavnog projekta fotonaponske elektrane.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27.915,92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35.938,50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Povećane zbog knjiženja 13 rashoda za zaštitara u ovom izvještajnom razdoblju zbog ukidanja kontinuiranih rashoda i plaćanja prekoračenja izvan paušala za veliki broj kopija </w:t>
      </w:r>
      <w:proofErr w:type="gramStart"/>
      <w:r>
        <w:t>na</w:t>
      </w:r>
      <w:proofErr w:type="gramEnd"/>
      <w:r>
        <w:t xml:space="preserve"> kopirnom uređaju.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27.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Proslava 40.</w:t>
      </w:r>
      <w:proofErr w:type="gramEnd"/>
      <w:r>
        <w:t xml:space="preserve"> </w:t>
      </w:r>
      <w:proofErr w:type="gramStart"/>
      <w:r>
        <w:t>godina</w:t>
      </w:r>
      <w:proofErr w:type="gramEnd"/>
      <w:r>
        <w:t xml:space="preserve"> škole.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8.054,93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89,9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Smanjene zbog zapošljavanja osoba s invaliditetom i manje naknade zbog nezapošljavanja invalida.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29.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Povećani zbog troškova za proslavu 40 god škole.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Manje zateznih kamata.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31.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Sredstva za prijevoz učenika s poteškoćama, manje isplata u odnosu </w:t>
      </w:r>
      <w:proofErr w:type="gramStart"/>
      <w:r>
        <w:t>na</w:t>
      </w:r>
      <w:proofErr w:type="gramEnd"/>
      <w:r>
        <w:t xml:space="preserve"> isto izvještajno razdoblje prošle godine jer je manje učenika u odjelu.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118.519,10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115.358,38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Manje nabavljenih radnih bilježnica i radnih udžbenika za učenike.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Higijenski ulošci za učenice škole (manje učenica).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4.108.178,02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4.690.083,82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Ukupni rashodi poslovanja povećani zbog knjiženja 13 rashoda ukidanjem kontinuiranih rashoda.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35.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32.871,95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Manjak prihoda poslovanja – preneseni uvećan za 1.134,77 eura zbog korekcije rezultata 2024.</w:t>
      </w:r>
      <w:proofErr w:type="gramEnd"/>
      <w:r>
        <w:t xml:space="preserve"> </w:t>
      </w:r>
      <w:proofErr w:type="gramStart"/>
      <w:r>
        <w:t>za</w:t>
      </w:r>
      <w:proofErr w:type="gramEnd"/>
      <w:r>
        <w:t xml:space="preserve"> projekt SHORE po novom načinu evidentiranja EU sredstava.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311.428,45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3528,2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Zbog primjene novog Pravilnika o izmjenama i dopunama Pravilnika o proračunskom računovodstvu i Računskom planu ne može se priznati prihod ako nije stvoreno potraživanje.</w:t>
      </w:r>
      <w:proofErr w:type="gramEnd"/>
      <w:r>
        <w:t xml:space="preserve"> </w:t>
      </w:r>
      <w:proofErr w:type="gramStart"/>
      <w:r>
        <w:t>Zbog novog načina evidentiranja iznos je uvećan.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Smanjeni zbog manje nenaplaćenih računa za najam.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20.532,29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lastRenderedPageBreak/>
        <w:t>Povećana zbog nabavke monitora, računala za učionicu informatike, staklene vitrine za eksponate, pomičnih pregrada za blagovaonicu škole, visećeg ormarića i polica u kuhinji.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39.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30.294,82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Smanjena zbog manje nabavke klima uređaja.</w:t>
      </w:r>
      <w:proofErr w:type="gramEnd"/>
      <w:r>
        <w:t xml:space="preserve"> </w:t>
      </w:r>
      <w:proofErr w:type="gramStart"/>
      <w:r>
        <w:t>U istom izvještajnom razdoblju prošle godine škola je klimatizirala sve učionice u matičnoj školi dok je ove godine kupila samo dvije klime za područnu školu.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Kupnja stola za stolni tenis u okviru izvannastanih aktivnosti financiranih </w:t>
      </w:r>
      <w:proofErr w:type="gramStart"/>
      <w:r>
        <w:t>od</w:t>
      </w:r>
      <w:proofErr w:type="gramEnd"/>
      <w:r>
        <w:t xml:space="preserve"> MZO.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Kupnja perilice rublja, perilice suđa i dva hladnjaka za školsku kuhinju.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42.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18.832,14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34.467,52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Nabavka više lektire i udžbenika zbog lošeg stanja postojećih.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124.383,80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Više ulaganja </w:t>
      </w:r>
      <w:proofErr w:type="gramStart"/>
      <w:r>
        <w:t>( ugradnja</w:t>
      </w:r>
      <w:proofErr w:type="gramEnd"/>
      <w:r>
        <w:t xml:space="preserve"> roleta na školu, izrada novog školskog igrališta s ogradom).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197.288,73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Financirano iz vlastitih prihoda koji </w:t>
      </w:r>
      <w:proofErr w:type="gramStart"/>
      <w:r>
        <w:t>će</w:t>
      </w:r>
      <w:proofErr w:type="gramEnd"/>
      <w:r>
        <w:t xml:space="preserve"> se pokriti odlukom o raspodjeli rezultata ili prihoda za koji treba napraviti obveznu korekciju.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305.719,37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Podskupina 193 ukinuta je s danom 01.01.2025.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neće se više koristiti za evidentiranje kontinuiranih rashoda u 2025. </w:t>
      </w:r>
      <w:proofErr w:type="gramStart"/>
      <w:r>
        <w:t>godini</w:t>
      </w:r>
      <w:proofErr w:type="gramEnd"/>
      <w:r>
        <w:t xml:space="preserve"> i nadalje. </w:t>
      </w:r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knjižit će se trinaest rashoda odnosno jedan rashod više. Zbog takve evidencije ukupan manjak prihoda je </w:t>
      </w:r>
      <w:r>
        <w:t xml:space="preserve">puno veći u odnosu </w:t>
      </w:r>
      <w:proofErr w:type="gramStart"/>
      <w:r>
        <w:lastRenderedPageBreak/>
        <w:t>na</w:t>
      </w:r>
      <w:proofErr w:type="gramEnd"/>
      <w:r>
        <w:t xml:space="preserve"> isto izvještajno razdoblje prošle godine. Knjiženo je 13 rashoda u odnosu </w:t>
      </w:r>
      <w:proofErr w:type="gramStart"/>
      <w:r>
        <w:t>na</w:t>
      </w:r>
      <w:proofErr w:type="gramEnd"/>
      <w:r>
        <w:t xml:space="preserve"> 12 rashoda prošle godine.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26.229,76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Uvećan za 1.134,77 eura zbog korekcije rezultata 2024.</w:t>
      </w:r>
      <w:proofErr w:type="gramEnd"/>
      <w:r>
        <w:t xml:space="preserve"> </w:t>
      </w:r>
      <w:proofErr w:type="gramStart"/>
      <w:r>
        <w:t>za</w:t>
      </w:r>
      <w:proofErr w:type="gramEnd"/>
      <w:r>
        <w:t xml:space="preserve"> projekt SHORE po novom načinu evidentiranja EU sredstava.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i od prodaje nefinancijske imovine - nenaplaćeni </w:t>
            </w:r>
            <w:r>
              <w:rPr>
                <w:sz w:val="18"/>
              </w:rPr>
              <w:t>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311.428,45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3528,2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Zbog primjene novog Pravilnika o izmjenama i dopunama Pravilnika o proračunskom računovodstvu i Računskom planu ne može se priznati prihod ako nije stvoreno potraživanje.</w:t>
      </w:r>
      <w:proofErr w:type="gramEnd"/>
      <w:r>
        <w:t xml:space="preserve"> </w:t>
      </w:r>
      <w:proofErr w:type="gramStart"/>
      <w:r>
        <w:t>Zbog novog načina evidentiranja iznos je uvećan.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48.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39.240,17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305.719,37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Podskupina 193 ukinuta je s danom 01.01.2025.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neće se više koristiti za evidentiranje kontinuiranih rashoda u 2025. </w:t>
      </w:r>
      <w:proofErr w:type="gramStart"/>
      <w:r>
        <w:t>i</w:t>
      </w:r>
      <w:proofErr w:type="gramEnd"/>
      <w:r>
        <w:t xml:space="preserve"> nadalje. </w:t>
      </w:r>
      <w:proofErr w:type="gramStart"/>
      <w:r>
        <w:t>U 2025.</w:t>
      </w:r>
      <w:proofErr w:type="gramEnd"/>
      <w:r>
        <w:t xml:space="preserve"> </w:t>
      </w:r>
      <w:proofErr w:type="gramStart"/>
      <w:r>
        <w:t>knjižit</w:t>
      </w:r>
      <w:proofErr w:type="gramEnd"/>
      <w:r>
        <w:t xml:space="preserve"> će se trinaest rashoda odnosno jedan rashod više, zbog takve evidencije manjak je puno veći u odnosu na prethod</w:t>
      </w:r>
      <w:r>
        <w:t>no razdoblje prošle godine.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49.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</w:t>
            </w:r>
            <w:r>
              <w:rPr>
                <w:sz w:val="18"/>
              </w:rPr>
              <w:t>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331.949,13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1322,8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Podskupina 193 ukinuta je s danom 01.01.2025.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neće se više koristiti za evidentiranje kontinuiranih rashoda u 2025. </w:t>
      </w:r>
      <w:proofErr w:type="gramStart"/>
      <w:r>
        <w:t>i</w:t>
      </w:r>
      <w:proofErr w:type="gramEnd"/>
      <w:r>
        <w:t xml:space="preserve"> nadalje. </w:t>
      </w:r>
      <w:proofErr w:type="gramStart"/>
      <w:r>
        <w:t>U 2025.</w:t>
      </w:r>
      <w:proofErr w:type="gramEnd"/>
      <w:r>
        <w:t xml:space="preserve"> </w:t>
      </w:r>
      <w:proofErr w:type="gramStart"/>
      <w:r>
        <w:t>knjižit</w:t>
      </w:r>
      <w:proofErr w:type="gramEnd"/>
      <w:r>
        <w:t xml:space="preserve"> će se trinaest rashoda odnosno jedan rashod više, zbog takve evidencije manjak je puno veći u odnosu na prethod</w:t>
      </w:r>
      <w:r>
        <w:t>no razdoblje prošle godine.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</w:t>
            </w:r>
            <w:r>
              <w:rPr>
                <w:sz w:val="18"/>
              </w:rPr>
              <w:t>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292.472,06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U prijelaznim i završnim odredbama Pravilnika o proračunskom računovodstvu i Računskom planu, u članku 233.</w:t>
      </w:r>
      <w:proofErr w:type="gramEnd"/>
      <w:r>
        <w:t xml:space="preserve"> </w:t>
      </w:r>
      <w:proofErr w:type="gramStart"/>
      <w:r>
        <w:t>propisano</w:t>
      </w:r>
      <w:proofErr w:type="gramEnd"/>
      <w:r>
        <w:t xml:space="preserve"> je da se s danom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ukida</w:t>
      </w:r>
      <w:proofErr w:type="gramEnd"/>
      <w:r>
        <w:t xml:space="preserve"> podskupina računa 193 Kontinuirani rashodi budućih razdoblja.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Temeljem članka 50.</w:t>
      </w:r>
      <w:proofErr w:type="gramEnd"/>
      <w:r>
        <w:t xml:space="preserve"> </w:t>
      </w:r>
      <w:proofErr w:type="gramStart"/>
      <w:r>
        <w:t>Zakona o proračunu (NN 144/2021) i članka 27.</w:t>
      </w:r>
      <w:proofErr w:type="gramEnd"/>
      <w:r>
        <w:t xml:space="preserve"> </w:t>
      </w:r>
      <w:proofErr w:type="gramStart"/>
      <w:r>
        <w:t>Statuta Grada Zadra („Službeni glasnik Grada Zadra 7/18, 15/19, 2/20, 3/21 i 14/23-pročišćeni tekst) Gradsko vijeće Grada Zadra je 29.</w:t>
      </w:r>
      <w:proofErr w:type="gramEnd"/>
      <w:r>
        <w:t xml:space="preserve"> </w:t>
      </w:r>
      <w:proofErr w:type="gramStart"/>
      <w:r>
        <w:t>studenog</w:t>
      </w:r>
      <w:proofErr w:type="gramEnd"/>
      <w:r>
        <w:t xml:space="preserve"> 2023. </w:t>
      </w:r>
      <w:proofErr w:type="gramStart"/>
      <w:r>
        <w:t>godine</w:t>
      </w:r>
      <w:proofErr w:type="gramEnd"/>
      <w:r>
        <w:t xml:space="preserve"> donijelo Odluku o uvođenju riznic</w:t>
      </w:r>
      <w:r>
        <w:t xml:space="preserve">e. </w:t>
      </w:r>
      <w:proofErr w:type="gramStart"/>
      <w:r>
        <w:t>Od</w:t>
      </w:r>
      <w:proofErr w:type="gramEnd"/>
      <w:r>
        <w:t xml:space="preserve"> 1. </w:t>
      </w:r>
      <w:proofErr w:type="gramStart"/>
      <w:r>
        <w:t>siječnja</w:t>
      </w:r>
      <w:proofErr w:type="gramEnd"/>
      <w:r>
        <w:t xml:space="preserve"> 2024. </w:t>
      </w:r>
      <w:proofErr w:type="gramStart"/>
      <w:r>
        <w:t>godine</w:t>
      </w:r>
      <w:proofErr w:type="gramEnd"/>
      <w:r>
        <w:t xml:space="preserve"> uvedena je Riznica Grada Zadra, u uvjetima poslovanja bez otvorenih žiro računa proračunskih korisnika. </w:t>
      </w:r>
      <w:proofErr w:type="gramStart"/>
      <w:r>
        <w:t>Proračunski korisnici su dužni 2.1.2024.</w:t>
      </w:r>
      <w:proofErr w:type="gramEnd"/>
      <w:r>
        <w:t xml:space="preserve"> </w:t>
      </w:r>
      <w:proofErr w:type="gramStart"/>
      <w:r>
        <w:t>zatvoriti</w:t>
      </w:r>
      <w:proofErr w:type="gramEnd"/>
      <w:r>
        <w:t xml:space="preserve"> svoje račune kod poslovnih banaka i zatečena sredstva se prebacuju na </w:t>
      </w:r>
      <w:r>
        <w:t xml:space="preserve">račun Grada Zadra. </w:t>
      </w:r>
      <w:proofErr w:type="gramStart"/>
      <w:r>
        <w:t>Od</w:t>
      </w:r>
      <w:proofErr w:type="gramEnd"/>
      <w:r>
        <w:t xml:space="preserve"> 03.01.2024. </w:t>
      </w:r>
      <w:proofErr w:type="gramStart"/>
      <w:r>
        <w:t>škola</w:t>
      </w:r>
      <w:proofErr w:type="gramEnd"/>
      <w:r>
        <w:t xml:space="preserve"> nema više svoj vlastiti žiro račun već posluje preko Riznice Grada Zadra.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52.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Otpremnina za tri djelatnice koje su otišle u mirovinu.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građevinski </w:t>
            </w:r>
            <w:r>
              <w:rPr>
                <w:sz w:val="18"/>
              </w:rPr>
              <w:t>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46.296,95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145.055,75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Povećan zbog znatnog ulaganja u igralište škole.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117.983,10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152.450,62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Zbog više nabavke lektire i udžbenika.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Povećana zbog više bolovanja preko 42 </w:t>
      </w:r>
      <w:proofErr w:type="gramStart"/>
      <w:r>
        <w:t>dana</w:t>
      </w:r>
      <w:proofErr w:type="gramEnd"/>
      <w:r>
        <w:t xml:space="preserve"> i ozljeda na radu.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56.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38.723,60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345.644,69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892,6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Zbog primjene novog Pravilnika o izmjenama i dopunama Pravilnika o proračunskom računovodstvu i Računskom planu ne može se priznati prihod ako nije stvoreno potraživanje.</w:t>
      </w:r>
      <w:proofErr w:type="gramEnd"/>
      <w:r>
        <w:t xml:space="preserve"> </w:t>
      </w:r>
      <w:proofErr w:type="gramStart"/>
      <w:r>
        <w:t>Zbog novog načina evidentiranja iznos je uvećan.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292.472,06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U prijelaznim i završnim odredbama Pravilnika o proračunskom računovodstvu i Računskom planu, u članku 233.</w:t>
      </w:r>
      <w:proofErr w:type="gramEnd"/>
      <w:r>
        <w:t xml:space="preserve"> </w:t>
      </w:r>
      <w:proofErr w:type="gramStart"/>
      <w:r>
        <w:t>propisano</w:t>
      </w:r>
      <w:proofErr w:type="gramEnd"/>
      <w:r>
        <w:t xml:space="preserve"> je da se s danom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ukida</w:t>
      </w:r>
      <w:proofErr w:type="gramEnd"/>
      <w:r>
        <w:t xml:space="preserve"> podskupina računa 193 Kontinuirani rashodi budućih razdoblja.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58.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Krajem 2024.</w:t>
      </w:r>
      <w:proofErr w:type="gramEnd"/>
      <w:r>
        <w:t xml:space="preserve"> </w:t>
      </w:r>
      <w:proofErr w:type="gramStart"/>
      <w:r>
        <w:t>ostao</w:t>
      </w:r>
      <w:proofErr w:type="gramEnd"/>
      <w:r>
        <w:t xml:space="preserve"> je neplaćen račun za radne bilježnice, a na 31.12.2025. </w:t>
      </w:r>
      <w:proofErr w:type="gramStart"/>
      <w:r>
        <w:t>ostala</w:t>
      </w:r>
      <w:proofErr w:type="gramEnd"/>
      <w:r>
        <w:t xml:space="preserve"> je obveza za isplatu prijevoza za učenike s poteškoćama TUR.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59.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14.625,49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Stanje </w:t>
      </w:r>
      <w:proofErr w:type="gramStart"/>
      <w:r>
        <w:t>na</w:t>
      </w:r>
      <w:proofErr w:type="gramEnd"/>
      <w:r>
        <w:t xml:space="preserve"> dan 31.12.2024. </w:t>
      </w:r>
      <w:proofErr w:type="gramStart"/>
      <w:r>
        <w:t>na</w:t>
      </w:r>
      <w:proofErr w:type="gramEnd"/>
      <w:r>
        <w:t xml:space="preserve"> osnovnim računima 23951, 23952, 23953,23955, 23956, 23957 i 23958 bilo je potrebno prenijeti u početno stanje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na</w:t>
      </w:r>
      <w:proofErr w:type="gramEnd"/>
      <w:r>
        <w:t xml:space="preserve"> odgovarajuće novootvorene osnovne račune u okviru skupine 27. Na kontu je evidentirano jamstvo z</w:t>
      </w:r>
      <w:r>
        <w:t xml:space="preserve">a ozbiljnost ugovora, bolovanja preko 42 </w:t>
      </w:r>
      <w:proofErr w:type="gramStart"/>
      <w:r>
        <w:t>dana</w:t>
      </w:r>
      <w:proofErr w:type="gramEnd"/>
      <w:r>
        <w:t xml:space="preserve"> i ozljede na radu.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-25.094,99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-331.949,13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1322,8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OŠ Bartula Kašića 31.12.2024. </w:t>
      </w:r>
      <w:proofErr w:type="gramStart"/>
      <w:r>
        <w:t>godine</w:t>
      </w:r>
      <w:proofErr w:type="gramEnd"/>
      <w:r>
        <w:t xml:space="preserve"> ostvarila je manjak prihoda poslovanja (konto 92221) 21.055,89 EUR i manjak prihoda od nefinancijske imovine (konto 92222) 4.039,10 EUR. </w:t>
      </w:r>
      <w:proofErr w:type="gramStart"/>
      <w:r>
        <w:t>Sveukupno manjak prihoda 25.094,99 EUR.</w:t>
      </w:r>
      <w:proofErr w:type="gramEnd"/>
      <w:r>
        <w:t> </w:t>
      </w:r>
    </w:p>
    <w:p w:rsidR="00E72DF3" w:rsidRDefault="00BC5F47">
      <w:r>
        <w:t>Zbog izmjena u računovodstvenom evidentir</w:t>
      </w:r>
      <w:r>
        <w:t xml:space="preserve">anju sredstava Europske unije višak projekta SHORE </w:t>
      </w:r>
      <w:proofErr w:type="gramStart"/>
      <w:r>
        <w:t>na</w:t>
      </w:r>
      <w:proofErr w:type="gramEnd"/>
      <w:r>
        <w:t xml:space="preserve"> 31.12.2024. </w:t>
      </w:r>
      <w:proofErr w:type="gramStart"/>
      <w:r>
        <w:t>u</w:t>
      </w:r>
      <w:proofErr w:type="gramEnd"/>
      <w:r>
        <w:t xml:space="preserve"> iznosu 1.134,77 eura potrebno je korigirati utvrđeni rezultat za 2024. </w:t>
      </w:r>
      <w:proofErr w:type="gramStart"/>
      <w:r>
        <w:t>i</w:t>
      </w:r>
      <w:proofErr w:type="gramEnd"/>
      <w:r>
        <w:t xml:space="preserve"> iskazati obvezu za primljeni predujam. </w:t>
      </w:r>
      <w:proofErr w:type="gramStart"/>
      <w:r>
        <w:t>Korekcija je napravljena s 02.01.2025.</w:t>
      </w:r>
      <w:proofErr w:type="gramEnd"/>
      <w:r>
        <w:t xml:space="preserve"> </w:t>
      </w:r>
      <w:proofErr w:type="gramStart"/>
      <w:r>
        <w:t>S nastalom korekcijom rezultat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je manjak prihoda poslovanja (konto 92221) 22.190,66 EUR i manjak prihoda od nefinancijske imovine (konto 92222) 4.039,10 EUR. </w:t>
      </w:r>
      <w:proofErr w:type="gramStart"/>
      <w:r>
        <w:t>Sveukupno manjak prihoda 26.229,76 EUR.</w:t>
      </w:r>
      <w:proofErr w:type="gramEnd"/>
      <w:r>
        <w:t> </w:t>
      </w:r>
    </w:p>
    <w:p w:rsidR="00E72DF3" w:rsidRDefault="00BC5F47"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Školski odbor donosi odluku o raspodjeli rezultata koja je provede</w:t>
      </w:r>
      <w:r>
        <w:t xml:space="preserve">na u glavnoj knjizi. </w:t>
      </w:r>
      <w:proofErr w:type="gramStart"/>
      <w:r>
        <w:t>Na dan 31.12.2025.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bruto bilanci iskazan je manjak prihoda poslovanja 92221 32.871,95 EUR i višak prihoda od nefinancijske imovine 92212 6.642,19 EUR.</w:t>
      </w:r>
    </w:p>
    <w:p w:rsidR="00E72DF3" w:rsidRDefault="00BC5F47">
      <w:r>
        <w:t>Nakon sučeljavanja prihoda i primitaka sa rashodima i izdacima prema svakoj aktivn</w:t>
      </w:r>
      <w:r>
        <w:t xml:space="preserve">osti, prebijanja računa viškova i manjkova po istovrsnim kategorijama i izvorima financiranja napravljena je obvezna korekcija rezultata </w:t>
      </w:r>
      <w:proofErr w:type="gramStart"/>
      <w:r>
        <w:t>za  konto</w:t>
      </w:r>
      <w:proofErr w:type="gramEnd"/>
      <w:r>
        <w:t xml:space="preserve"> 6712  141.171,21 EUR, konto 6632  2.493,50 EUR, konto 6362 33.672,02 EUR. </w:t>
      </w:r>
      <w:proofErr w:type="gramStart"/>
      <w:r>
        <w:t>Rezultat za 2025.</w:t>
      </w:r>
      <w:proofErr w:type="gramEnd"/>
      <w:r>
        <w:t xml:space="preserve"> </w:t>
      </w:r>
      <w:proofErr w:type="gramStart"/>
      <w:r>
        <w:t>godinu</w:t>
      </w:r>
      <w:proofErr w:type="gramEnd"/>
      <w:r>
        <w:t xml:space="preserve"> je manjak </w:t>
      </w:r>
      <w:r>
        <w:t xml:space="preserve">prihoda poslovanja  (92221) 318.639,32 EUR i manjak prihoda od nefinancijske imovine (92222) 13.309,81 EUR. </w:t>
      </w:r>
      <w:proofErr w:type="gramStart"/>
      <w:r>
        <w:t>Sveukupni manjak 331.949,13 EUR.</w:t>
      </w:r>
      <w:proofErr w:type="gramEnd"/>
      <w:r>
        <w:t> </w:t>
      </w:r>
    </w:p>
    <w:p w:rsidR="00E72DF3" w:rsidRDefault="00BC5F47">
      <w:r>
        <w:t>Rezultat po IF:</w:t>
      </w:r>
    </w:p>
    <w:p w:rsidR="00E72DF3" w:rsidRDefault="00BC5F47">
      <w:r>
        <w:lastRenderedPageBreak/>
        <w:t>IF 11 manjak prihoda poslovanja 46.170,51 eur, </w:t>
      </w:r>
    </w:p>
    <w:p w:rsidR="00E72DF3" w:rsidRDefault="00BC5F47">
      <w:r>
        <w:t>IF 31 višak prihoda poslovanja 6.311,39 eur i manj</w:t>
      </w:r>
      <w:r>
        <w:t>ak prihoda od NFI 940</w:t>
      </w:r>
      <w:proofErr w:type="gramStart"/>
      <w:r>
        <w:t>,31</w:t>
      </w:r>
      <w:proofErr w:type="gramEnd"/>
      <w:r>
        <w:t xml:space="preserve"> eur, </w:t>
      </w:r>
    </w:p>
    <w:p w:rsidR="00E72DF3" w:rsidRDefault="00BC5F47">
      <w:r>
        <w:t xml:space="preserve">IF 41 (43) višak prihoda poslovanja 20.740,15 eur i manjak prihoda </w:t>
      </w:r>
      <w:proofErr w:type="gramStart"/>
      <w:r>
        <w:t>od</w:t>
      </w:r>
      <w:proofErr w:type="gramEnd"/>
      <w:r>
        <w:t xml:space="preserve"> NFI 12.278,71 eur, </w:t>
      </w:r>
    </w:p>
    <w:p w:rsidR="00E72DF3" w:rsidRDefault="00BC5F47">
      <w:r>
        <w:t>IF 57 (50) manjak prihoda poslovanja 299.520,35 eur i manjak prihoda od NFI 90</w:t>
      </w:r>
      <w:proofErr w:type="gramStart"/>
      <w:r>
        <w:t>,79</w:t>
      </w:r>
      <w:proofErr w:type="gramEnd"/>
      <w:r>
        <w:t xml:space="preserve"> eur.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331.949,13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1322,8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OŠ Bartula Kašića 31.12.2024. </w:t>
      </w:r>
      <w:proofErr w:type="gramStart"/>
      <w:r>
        <w:t>godine</w:t>
      </w:r>
      <w:proofErr w:type="gramEnd"/>
      <w:r>
        <w:t xml:space="preserve"> ostvarila je manjak prihoda poslovanja (konto 92221) 21.055,89 EUR i manjak prihoda od nefinancijske imovine (konto 92222) 4.039,10 EUR. </w:t>
      </w:r>
      <w:proofErr w:type="gramStart"/>
      <w:r>
        <w:t>Sveukupno manjak prihoda 25.094,99 EUR.</w:t>
      </w:r>
      <w:proofErr w:type="gramEnd"/>
      <w:r>
        <w:t> </w:t>
      </w:r>
    </w:p>
    <w:p w:rsidR="00E72DF3" w:rsidRDefault="00BC5F47">
      <w:r>
        <w:t>Zbog izmjena u računovodstvenom evidentir</w:t>
      </w:r>
      <w:r>
        <w:t xml:space="preserve">anju sredstava Europske unije višak projekta SHORE </w:t>
      </w:r>
      <w:proofErr w:type="gramStart"/>
      <w:r>
        <w:t>na</w:t>
      </w:r>
      <w:proofErr w:type="gramEnd"/>
      <w:r>
        <w:t xml:space="preserve"> 31.12.2024. </w:t>
      </w:r>
      <w:proofErr w:type="gramStart"/>
      <w:r>
        <w:t>u</w:t>
      </w:r>
      <w:proofErr w:type="gramEnd"/>
      <w:r>
        <w:t xml:space="preserve"> iznosu 1.134,77 eura potrebno je korigirati utvrđeni rezultat za 2024. </w:t>
      </w:r>
      <w:proofErr w:type="gramStart"/>
      <w:r>
        <w:t>i</w:t>
      </w:r>
      <w:proofErr w:type="gramEnd"/>
      <w:r>
        <w:t xml:space="preserve"> iskazati obvezu za primljeni predujam. </w:t>
      </w:r>
      <w:proofErr w:type="gramStart"/>
      <w:r>
        <w:t>Korekcija je napravljena s 02.01.2025.</w:t>
      </w:r>
      <w:proofErr w:type="gramEnd"/>
      <w:r>
        <w:t xml:space="preserve"> </w:t>
      </w:r>
      <w:proofErr w:type="gramStart"/>
      <w:r>
        <w:t>S nastalom korekcijom rezultat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je manjak prihoda poslovanja (konto 92221) 22.190,66 EUR i manjak prihoda od nefinancijske imovine (konto 92222) 4.039,10 EUR. </w:t>
      </w:r>
      <w:proofErr w:type="gramStart"/>
      <w:r>
        <w:t>Sveukupno manjak prihoda 26.229,76 EUR.</w:t>
      </w:r>
      <w:proofErr w:type="gramEnd"/>
      <w:r>
        <w:t> </w:t>
      </w:r>
    </w:p>
    <w:p w:rsidR="00E72DF3" w:rsidRDefault="00BC5F47"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Školski odbor donosi odluku o raspodjeli rezultata koja je provede</w:t>
      </w:r>
      <w:r>
        <w:t xml:space="preserve">na u glavnoj knjizi. </w:t>
      </w:r>
      <w:proofErr w:type="gramStart"/>
      <w:r>
        <w:t>Na dan 31.12.2025.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bruto bilanci iskazan je manjak prihoda poslovanja 92221 32.871,95 EUR i višak prihoda od nefinancijske imovine 92212 6.642,19 EUR.</w:t>
      </w:r>
    </w:p>
    <w:p w:rsidR="00E72DF3" w:rsidRDefault="00BC5F47">
      <w:r>
        <w:t>Nakon sučeljavanja prihoda i primitaka sa rashodima i izdacima prema svakoj aktivn</w:t>
      </w:r>
      <w:r>
        <w:t xml:space="preserve">osti, prebijanja računa viškova i manjkova po istovrsnim kategorijama i izvorima financiranja napravljena je obvezna korekcija rezultata </w:t>
      </w:r>
      <w:proofErr w:type="gramStart"/>
      <w:r>
        <w:t>za  konto</w:t>
      </w:r>
      <w:proofErr w:type="gramEnd"/>
      <w:r>
        <w:t xml:space="preserve"> 6712  141.171,21 EUR, konto 6632  2.493,50 EUR, konto 6362 33.672,02 EUR. </w:t>
      </w:r>
      <w:proofErr w:type="gramStart"/>
      <w:r>
        <w:t>Rezultat za 2025.</w:t>
      </w:r>
      <w:proofErr w:type="gramEnd"/>
      <w:r>
        <w:t xml:space="preserve"> </w:t>
      </w:r>
      <w:proofErr w:type="gramStart"/>
      <w:r>
        <w:t>godinu</w:t>
      </w:r>
      <w:proofErr w:type="gramEnd"/>
      <w:r>
        <w:t xml:space="preserve"> je manjak </w:t>
      </w:r>
      <w:r>
        <w:t xml:space="preserve">prihoda poslovanja  (92221) 318.639,32 EUR i manjak prihoda od nefinancijske imovine (92222) 13.309,81 EUR. </w:t>
      </w:r>
      <w:proofErr w:type="gramStart"/>
      <w:r>
        <w:t>Sveukupni manjak 331.949,13 EUR.</w:t>
      </w:r>
      <w:proofErr w:type="gramEnd"/>
      <w:r>
        <w:t> </w:t>
      </w:r>
    </w:p>
    <w:p w:rsidR="00E72DF3" w:rsidRDefault="00BC5F47">
      <w:r>
        <w:t>Rezultat po IF:</w:t>
      </w:r>
    </w:p>
    <w:p w:rsidR="00E72DF3" w:rsidRDefault="00BC5F47">
      <w:r>
        <w:t>IF 11 manjak prihoda poslovanja 46.170,51 eur, </w:t>
      </w:r>
    </w:p>
    <w:p w:rsidR="00E72DF3" w:rsidRDefault="00BC5F47">
      <w:r>
        <w:t>IF 31 višak prihoda poslovanja 6.311,39 eur i manj</w:t>
      </w:r>
      <w:r>
        <w:t>ak prihoda od NFI 940</w:t>
      </w:r>
      <w:proofErr w:type="gramStart"/>
      <w:r>
        <w:t>,31</w:t>
      </w:r>
      <w:proofErr w:type="gramEnd"/>
      <w:r>
        <w:t xml:space="preserve"> eur, </w:t>
      </w:r>
    </w:p>
    <w:p w:rsidR="00E72DF3" w:rsidRDefault="00BC5F47">
      <w:r>
        <w:lastRenderedPageBreak/>
        <w:t xml:space="preserve">IF 41 (43) višak prihoda poslovanja 20.740,15 eur i manjak prihoda </w:t>
      </w:r>
      <w:proofErr w:type="gramStart"/>
      <w:r>
        <w:t>od</w:t>
      </w:r>
      <w:proofErr w:type="gramEnd"/>
      <w:r>
        <w:t xml:space="preserve"> NFI 12.278,71 eur, </w:t>
      </w:r>
    </w:p>
    <w:p w:rsidR="00E72DF3" w:rsidRDefault="00BC5F47">
      <w:r>
        <w:t>IF 57 (50) manjak prihoda poslovanja 299.520,35 eur i manjak prihoda od NFI 90</w:t>
      </w:r>
      <w:proofErr w:type="gramStart"/>
      <w:r>
        <w:t>,79</w:t>
      </w:r>
      <w:proofErr w:type="gramEnd"/>
      <w:r>
        <w:t xml:space="preserve"> eur.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21.055,89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318.639,32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1513,3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OŠ Bartula Kašića 31.12.2024. </w:t>
      </w:r>
      <w:proofErr w:type="gramStart"/>
      <w:r>
        <w:t>godine</w:t>
      </w:r>
      <w:proofErr w:type="gramEnd"/>
      <w:r>
        <w:t xml:space="preserve"> ostvarila je manjak prihoda poslovanja (konto 92221) 21.055,89 EUR i manjak prihoda od nefinancijske imovine (konto 92222) 4.039,10 EUR. </w:t>
      </w:r>
      <w:proofErr w:type="gramStart"/>
      <w:r>
        <w:t>Sveukupno manjak prihoda 25.094,99 EUR.</w:t>
      </w:r>
      <w:proofErr w:type="gramEnd"/>
      <w:r>
        <w:t> </w:t>
      </w:r>
    </w:p>
    <w:p w:rsidR="00E72DF3" w:rsidRDefault="00BC5F47">
      <w:r>
        <w:t>Zbog izmjena u računovodstvenom evidentir</w:t>
      </w:r>
      <w:r>
        <w:t xml:space="preserve">anju sredstava Europske unije višak projekta SHORE </w:t>
      </w:r>
      <w:proofErr w:type="gramStart"/>
      <w:r>
        <w:t>na</w:t>
      </w:r>
      <w:proofErr w:type="gramEnd"/>
      <w:r>
        <w:t xml:space="preserve"> 31.12.2024. </w:t>
      </w:r>
      <w:proofErr w:type="gramStart"/>
      <w:r>
        <w:t>u</w:t>
      </w:r>
      <w:proofErr w:type="gramEnd"/>
      <w:r>
        <w:t xml:space="preserve"> iznosu 1.134,77 eura potrebno je korigirati utvrđeni rezultat za 2024. </w:t>
      </w:r>
      <w:proofErr w:type="gramStart"/>
      <w:r>
        <w:t>i</w:t>
      </w:r>
      <w:proofErr w:type="gramEnd"/>
      <w:r>
        <w:t xml:space="preserve"> iskazati obvezu za primljeni predujam. </w:t>
      </w:r>
      <w:proofErr w:type="gramStart"/>
      <w:r>
        <w:t>Korekcija je napravljena s 02.01.2025.</w:t>
      </w:r>
      <w:proofErr w:type="gramEnd"/>
      <w:r>
        <w:t xml:space="preserve"> </w:t>
      </w:r>
      <w:proofErr w:type="gramStart"/>
      <w:r>
        <w:t>S nastalom korekcijom rezultat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je manjak prihoda poslovanja (konto 92221) 22.190,66 EUR i manjak prihoda od nefinancijske imovine (konto 92222) 4.039,10 EUR. </w:t>
      </w:r>
      <w:proofErr w:type="gramStart"/>
      <w:r>
        <w:t>Sveukupno manjak prihoda 26.229,76 EUR.</w:t>
      </w:r>
      <w:proofErr w:type="gramEnd"/>
      <w:r>
        <w:t> </w:t>
      </w:r>
    </w:p>
    <w:p w:rsidR="00E72DF3" w:rsidRDefault="00BC5F47"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Školski odbor donosi odluku o raspodjeli rezultata koja je provedena u glavnoj knjizi. </w:t>
      </w:r>
      <w:proofErr w:type="gramStart"/>
      <w:r>
        <w:t>Na dan 31.12.2025.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bruto bilanci iskazan je manjak prihoda poslovanja 92221 32.871,95 EUR i višak prihoda od nefinancijske imovine 92212 6.642,19 EUR.</w:t>
      </w:r>
    </w:p>
    <w:p w:rsidR="00E72DF3" w:rsidRDefault="00BC5F47">
      <w:r>
        <w:t>N</w:t>
      </w:r>
      <w:r>
        <w:t xml:space="preserve">akon sučeljavanja prihoda i primitaka sa rashodima i izdacima prema svakoj aktivnosti, prebijanja računa viškova i manjkova po istovrsnim kategorijama i izvorima financiranja napravljena je obvezna korekcija rezultata </w:t>
      </w:r>
      <w:proofErr w:type="gramStart"/>
      <w:r>
        <w:t>za  konto</w:t>
      </w:r>
      <w:proofErr w:type="gramEnd"/>
      <w:r>
        <w:t xml:space="preserve"> 6712  141.171,21 EUR, konto </w:t>
      </w:r>
      <w:r>
        <w:t xml:space="preserve">6632  2.493,50 EUR, konto 6362 33.672,02 EUR. </w:t>
      </w:r>
      <w:proofErr w:type="gramStart"/>
      <w:r>
        <w:t>Rezultat za 2025.</w:t>
      </w:r>
      <w:proofErr w:type="gramEnd"/>
      <w:r>
        <w:t xml:space="preserve"> </w:t>
      </w:r>
      <w:proofErr w:type="gramStart"/>
      <w:r>
        <w:t>godinu</w:t>
      </w:r>
      <w:proofErr w:type="gramEnd"/>
      <w:r>
        <w:t xml:space="preserve"> je manjak prihoda poslovanja  (92221) 318.639,32 EUR i manjak prihoda od nefinancijske imovine (92222) 13.309,81 EUR. </w:t>
      </w:r>
      <w:proofErr w:type="gramStart"/>
      <w:r>
        <w:t>Sveukupni manjak 331.949,13 EUR.</w:t>
      </w:r>
      <w:proofErr w:type="gramEnd"/>
      <w:r>
        <w:t> </w:t>
      </w:r>
    </w:p>
    <w:p w:rsidR="00E72DF3" w:rsidRDefault="00BC5F47">
      <w:r>
        <w:t>Rezultat po IF:</w:t>
      </w:r>
    </w:p>
    <w:p w:rsidR="00E72DF3" w:rsidRDefault="00BC5F47">
      <w:r>
        <w:t>IF 11 manjak prih</w:t>
      </w:r>
      <w:r>
        <w:t>oda poslovanja 46.170,51 eur, </w:t>
      </w:r>
    </w:p>
    <w:p w:rsidR="00E72DF3" w:rsidRDefault="00BC5F47">
      <w:r>
        <w:t>IF 31 višak prihoda poslovanja 6.311,39 eur i manjak prihoda od NFI 940</w:t>
      </w:r>
      <w:proofErr w:type="gramStart"/>
      <w:r>
        <w:t>,31</w:t>
      </w:r>
      <w:proofErr w:type="gramEnd"/>
      <w:r>
        <w:t xml:space="preserve"> eur, </w:t>
      </w:r>
    </w:p>
    <w:p w:rsidR="00E72DF3" w:rsidRDefault="00BC5F47">
      <w:r>
        <w:t xml:space="preserve">IF 41 (43) višak prihoda poslovanja 20.740,15 eur i manjak prihoda </w:t>
      </w:r>
      <w:proofErr w:type="gramStart"/>
      <w:r>
        <w:t>od</w:t>
      </w:r>
      <w:proofErr w:type="gramEnd"/>
      <w:r>
        <w:t xml:space="preserve"> NFI 12.278,71 eur, </w:t>
      </w:r>
    </w:p>
    <w:p w:rsidR="00E72DF3" w:rsidRDefault="00BC5F47">
      <w:r>
        <w:t>IF 57 (50) manjak prihoda poslovanja 299.520,35 eur i manjak prihoda od NFI 90</w:t>
      </w:r>
      <w:proofErr w:type="gramStart"/>
      <w:r>
        <w:t>,79</w:t>
      </w:r>
      <w:proofErr w:type="gramEnd"/>
      <w:r>
        <w:t xml:space="preserve"> eur.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OŠ Bartula Kašića 31.12.2024. </w:t>
      </w:r>
      <w:proofErr w:type="gramStart"/>
      <w:r>
        <w:t>godine</w:t>
      </w:r>
      <w:proofErr w:type="gramEnd"/>
      <w:r>
        <w:t xml:space="preserve"> ostvarila je manjak prihoda poslovanja (konto 92221) 21.055,89 EUR i manjak prihoda od nefinancijske imovine (konto 92222) 4.039,10 EUR. </w:t>
      </w:r>
      <w:proofErr w:type="gramStart"/>
      <w:r>
        <w:t>Sveukupno manjak prihoda 25.094,99 EUR.</w:t>
      </w:r>
      <w:proofErr w:type="gramEnd"/>
      <w:r>
        <w:t> </w:t>
      </w:r>
    </w:p>
    <w:p w:rsidR="00E72DF3" w:rsidRDefault="00BC5F47">
      <w:r>
        <w:t xml:space="preserve">Zbog izmjena u računovodstvenom evidentiranju sredstava Europske unije višak projekta SHORE </w:t>
      </w:r>
      <w:proofErr w:type="gramStart"/>
      <w:r>
        <w:t>na</w:t>
      </w:r>
      <w:proofErr w:type="gramEnd"/>
      <w:r>
        <w:t xml:space="preserve"> 31.12.2024. </w:t>
      </w:r>
      <w:proofErr w:type="gramStart"/>
      <w:r>
        <w:t>u</w:t>
      </w:r>
      <w:proofErr w:type="gramEnd"/>
      <w:r>
        <w:t xml:space="preserve"> iznosu 1.134,77 eura potrebno je korigirati utvrđeni rezultat za 2024. </w:t>
      </w:r>
      <w:proofErr w:type="gramStart"/>
      <w:r>
        <w:t>i</w:t>
      </w:r>
      <w:proofErr w:type="gramEnd"/>
      <w:r>
        <w:t xml:space="preserve"> iskazati obvezu za primljeni predujam. </w:t>
      </w:r>
      <w:proofErr w:type="gramStart"/>
      <w:r>
        <w:t>Korekcija je napravljena s 02.01.20</w:t>
      </w:r>
      <w:r>
        <w:t>25.</w:t>
      </w:r>
      <w:proofErr w:type="gramEnd"/>
      <w:r>
        <w:t xml:space="preserve"> </w:t>
      </w:r>
      <w:proofErr w:type="gramStart"/>
      <w:r>
        <w:t>S nastalom korekcijom rezultat 2024.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je manjak prihoda poslovanja (konto 92221) 22.190,66 EUR i manjak prihoda od nefinancijske imovine (konto 92222) 4.039,10 EUR. </w:t>
      </w:r>
      <w:proofErr w:type="gramStart"/>
      <w:r>
        <w:t>Sveukupno manjak prihoda 26.229,76 EUR.</w:t>
      </w:r>
      <w:proofErr w:type="gramEnd"/>
      <w:r>
        <w:t> </w:t>
      </w:r>
    </w:p>
    <w:p w:rsidR="00E72DF3" w:rsidRDefault="00BC5F47">
      <w:proofErr w:type="gramStart"/>
      <w:r>
        <w:t>U 2025.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Školski odbor donosi odlu</w:t>
      </w:r>
      <w:r>
        <w:t xml:space="preserve">ku o raspodjeli rezultata koja je provedena u glavnoj knjizi. </w:t>
      </w:r>
      <w:proofErr w:type="gramStart"/>
      <w:r>
        <w:t>Na dan 31.12.2025.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bruto bilanci iskazan je manjak prihoda poslovanja 92221 32.871,95 EUR i višak prihoda od nefinancijske imovine 92212 6.642,19 EUR.</w:t>
      </w:r>
    </w:p>
    <w:p w:rsidR="00E72DF3" w:rsidRDefault="00BC5F47">
      <w:r>
        <w:t>Nakon sučeljavanja prihoda i primitaka sa</w:t>
      </w:r>
      <w:r>
        <w:t xml:space="preserve"> rashodima i izdacima prema svakoj aktivnosti, prebijanja računa viškova i manjkova po istovrsnim kategorijama i izvorima financiranja napravljena je obvezna korekcija rezultata </w:t>
      </w:r>
      <w:proofErr w:type="gramStart"/>
      <w:r>
        <w:t>za  konto</w:t>
      </w:r>
      <w:proofErr w:type="gramEnd"/>
      <w:r>
        <w:t xml:space="preserve"> 6712  141.171,21 EUR, konto 6632  2.493,50 EUR, konto 6362 33.672,02</w:t>
      </w:r>
      <w:r>
        <w:t xml:space="preserve"> EUR. </w:t>
      </w:r>
      <w:proofErr w:type="gramStart"/>
      <w:r>
        <w:t>Rezultat za 2025.</w:t>
      </w:r>
      <w:proofErr w:type="gramEnd"/>
      <w:r>
        <w:t xml:space="preserve"> </w:t>
      </w:r>
      <w:proofErr w:type="gramStart"/>
      <w:r>
        <w:t>godinu</w:t>
      </w:r>
      <w:proofErr w:type="gramEnd"/>
      <w:r>
        <w:t xml:space="preserve"> je manjak prihoda poslovanja  (92221) 318.639,32 EUR i manjak prihoda od nefinancijske imovine (92222) 13.309,81 EUR. </w:t>
      </w:r>
      <w:proofErr w:type="gramStart"/>
      <w:r>
        <w:t>Sveukupni manjak 331.949,13 EUR.</w:t>
      </w:r>
      <w:proofErr w:type="gramEnd"/>
      <w:r>
        <w:t> </w:t>
      </w:r>
    </w:p>
    <w:p w:rsidR="00E72DF3" w:rsidRDefault="00BC5F47">
      <w:r>
        <w:t>Rezultat po IF:</w:t>
      </w:r>
    </w:p>
    <w:p w:rsidR="00E72DF3" w:rsidRDefault="00BC5F47">
      <w:r>
        <w:t>IF 11 manjak prihoda poslovanja 46.170,51 eur, </w:t>
      </w:r>
    </w:p>
    <w:p w:rsidR="00E72DF3" w:rsidRDefault="00BC5F47">
      <w:r>
        <w:t>IF 31 viš</w:t>
      </w:r>
      <w:r>
        <w:t>ak prihoda poslovanja 6.311,39 eur i manjak prihoda od NFI 940</w:t>
      </w:r>
      <w:proofErr w:type="gramStart"/>
      <w:r>
        <w:t>,31</w:t>
      </w:r>
      <w:proofErr w:type="gramEnd"/>
      <w:r>
        <w:t xml:space="preserve"> eur, </w:t>
      </w:r>
    </w:p>
    <w:p w:rsidR="00E72DF3" w:rsidRDefault="00BC5F47">
      <w:r>
        <w:t xml:space="preserve">IF 41 (43) višak prihoda poslovanja 20.740,15 eur i manjak prihoda </w:t>
      </w:r>
      <w:proofErr w:type="gramStart"/>
      <w:r>
        <w:t>od</w:t>
      </w:r>
      <w:proofErr w:type="gramEnd"/>
      <w:r>
        <w:t xml:space="preserve"> NFI 12.278,71 eur, </w:t>
      </w:r>
    </w:p>
    <w:p w:rsidR="00E72DF3" w:rsidRDefault="00BC5F47">
      <w:r>
        <w:t>IF 57 (50) manjak prihoda poslovanja 299.520,35 eur i manjak prihoda od NFI 90</w:t>
      </w:r>
      <w:proofErr w:type="gramStart"/>
      <w:r>
        <w:t>,79</w:t>
      </w:r>
      <w:proofErr w:type="gramEnd"/>
      <w:r>
        <w:t xml:space="preserve"> eur.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</w:t>
      </w:r>
      <w:r>
        <w:rPr>
          <w:sz w:val="28"/>
        </w:rPr>
        <w:t>ka 64.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311.428,45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3528,2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Zbog primjene novog Pravilnika o izmjenama i dopunama Pravilnika o proračunskom računovodstvu i Računskom planu ne može se priznati prihod ako nije stvoreno potraživanje.</w:t>
      </w:r>
      <w:proofErr w:type="gramEnd"/>
      <w:r>
        <w:t xml:space="preserve"> </w:t>
      </w:r>
      <w:proofErr w:type="gramStart"/>
      <w:r>
        <w:t>Zbog novog načina evidentiranja iznos je uvećan.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37.571,27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344.776,79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917,7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Nedospjela potraživanja odnose se na plaće za prosinac </w:t>
      </w:r>
      <w:proofErr w:type="gramStart"/>
      <w:r>
        <w:t>2025.,</w:t>
      </w:r>
      <w:proofErr w:type="gramEnd"/>
      <w:r>
        <w:t xml:space="preserve"> marende MZO za prosinac 2025., račune za prosinac 2025. </w:t>
      </w:r>
      <w:proofErr w:type="gramStart"/>
      <w:r>
        <w:t>u</w:t>
      </w:r>
      <w:proofErr w:type="gramEnd"/>
      <w:r>
        <w:t xml:space="preserve"> produženom boravku, račune za najam dvorane i potraživanja prema Riznici.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428,4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Bolovanja preko 42 </w:t>
      </w:r>
      <w:proofErr w:type="gramStart"/>
      <w:r>
        <w:t>dana</w:t>
      </w:r>
      <w:proofErr w:type="gramEnd"/>
      <w:r>
        <w:t xml:space="preserve"> i ozljede na radu.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jamčevne pologe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lastRenderedPageBreak/>
        <w:t>Jamstvo za ozbiljnost ugovora Tvornica kruha Zadar.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68.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proračunskih </w:t>
            </w:r>
            <w:r>
              <w:rPr>
                <w:sz w:val="18"/>
              </w:rPr>
              <w:t>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325,3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Bolovanja preko 42 </w:t>
      </w:r>
      <w:proofErr w:type="gramStart"/>
      <w:r>
        <w:t>dana</w:t>
      </w:r>
      <w:proofErr w:type="gramEnd"/>
      <w:r>
        <w:t xml:space="preserve"> i ozljede na radu.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69.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  <w:r>
              <w:rPr>
                <w:sz w:val="18"/>
              </w:rPr>
              <w:t xml:space="preserve">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Korekcija rezultata 2024.</w:t>
      </w:r>
      <w:proofErr w:type="gramEnd"/>
      <w:r>
        <w:t xml:space="preserve"> </w:t>
      </w:r>
      <w:proofErr w:type="gramStart"/>
      <w:r>
        <w:t>zbog</w:t>
      </w:r>
      <w:proofErr w:type="gramEnd"/>
      <w:r>
        <w:t xml:space="preserve"> projekta SHORE i novog načina evidentiranja EU sredstava.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70.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3.956.944,07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4.571.474,23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U odnosu </w:t>
      </w:r>
      <w:proofErr w:type="gramStart"/>
      <w:r>
        <w:t>na</w:t>
      </w:r>
      <w:proofErr w:type="gramEnd"/>
      <w:r>
        <w:t xml:space="preserve"> 2024. </w:t>
      </w:r>
      <w:proofErr w:type="gramStart"/>
      <w:r>
        <w:t>godinu</w:t>
      </w:r>
      <w:proofErr w:type="gramEnd"/>
      <w:r>
        <w:t xml:space="preserve"> je povećana zbog ukidanja kontinuiranih rashoda te je u 2025. </w:t>
      </w:r>
      <w:proofErr w:type="gramStart"/>
      <w:r>
        <w:t>godini</w:t>
      </w:r>
      <w:proofErr w:type="gramEnd"/>
      <w:r>
        <w:t xml:space="preserve"> knjiženo 13 rashoda.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lastRenderedPageBreak/>
        <w:t>Bilješka 71.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286.956,13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315.898,32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U odnosu </w:t>
      </w:r>
      <w:proofErr w:type="gramStart"/>
      <w:r>
        <w:t>na</w:t>
      </w:r>
      <w:proofErr w:type="gramEnd"/>
      <w:r>
        <w:t xml:space="preserve"> 2024. </w:t>
      </w:r>
      <w:proofErr w:type="gramStart"/>
      <w:r>
        <w:t>je</w:t>
      </w:r>
      <w:proofErr w:type="gramEnd"/>
      <w:r>
        <w:t xml:space="preserve"> povećana zbog povećanja cijena namirnica te zdravstvenog pregleda za mlađe od 50. </w:t>
      </w:r>
      <w:proofErr w:type="gramStart"/>
      <w:r>
        <w:t>godina</w:t>
      </w:r>
      <w:proofErr w:type="gramEnd"/>
      <w:r>
        <w:t xml:space="preserve"> (veći broj djelatnika od starijih od 50)</w:t>
      </w:r>
    </w:p>
    <w:p w:rsidR="00E72DF3" w:rsidRDefault="00BC5F47">
      <w:r>
        <w:t>3222 školska shema + namirnice za kuhinju 301.466,97 EUR</w:t>
      </w:r>
    </w:p>
    <w:p w:rsidR="00E72DF3" w:rsidRDefault="00BC5F47">
      <w:r>
        <w:t xml:space="preserve">3236 zdravstveni </w:t>
      </w:r>
      <w:proofErr w:type="gramStart"/>
      <w:r>
        <w:t>pregled  14.431,35</w:t>
      </w:r>
      <w:proofErr w:type="gramEnd"/>
      <w:r>
        <w:t xml:space="preserve"> EUR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72.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</w:t>
            </w:r>
            <w:r>
              <w:rPr>
                <w:sz w:val="18"/>
              </w:rPr>
              <w:t>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128.008,08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U obrascu P-VRIO na šifri P003 proizvedena dugotrajna imovina škola je iskazala SMANJENJE na 91511 promjene u vrijednosti imovine za iznos provedenog ispravka vrijednosti 128.008,08 </w:t>
      </w:r>
      <w:proofErr w:type="gramStart"/>
      <w:r>
        <w:t>eura .</w:t>
      </w:r>
      <w:proofErr w:type="gramEnd"/>
    </w:p>
    <w:p w:rsidR="00E72DF3" w:rsidRDefault="00BC5F47">
      <w:proofErr w:type="gramStart"/>
      <w:r>
        <w:t>*Člankom 192.</w:t>
      </w:r>
      <w:proofErr w:type="gramEnd"/>
      <w:r>
        <w:t xml:space="preserve"> </w:t>
      </w:r>
      <w:proofErr w:type="gramStart"/>
      <w:r>
        <w:t>stavkom</w:t>
      </w:r>
      <w:proofErr w:type="gramEnd"/>
      <w:r>
        <w:t xml:space="preserve"> 7. </w:t>
      </w:r>
      <w:proofErr w:type="gramStart"/>
      <w:r>
        <w:t>podstavkom</w:t>
      </w:r>
      <w:proofErr w:type="gramEnd"/>
      <w:r>
        <w:t xml:space="preserve"> 3. </w:t>
      </w:r>
      <w:proofErr w:type="gramStart"/>
      <w:r>
        <w:t>Pravilnika o proračunskom računovodstvu kao promjena u vrijednosti koja se iskazuje podsredstvom podskupine 915 propisan je i ispravak vrijednosti imovine.</w:t>
      </w:r>
      <w:proofErr w:type="gramEnd"/>
    </w:p>
    <w:p w:rsidR="00E72DF3" w:rsidRDefault="00E72DF3"/>
    <w:p w:rsidR="00E72DF3" w:rsidRDefault="00BC5F4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73.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349.322,23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Stanje obveza </w:t>
      </w:r>
      <w:proofErr w:type="gramStart"/>
      <w:r>
        <w:t>na</w:t>
      </w:r>
      <w:proofErr w:type="gramEnd"/>
      <w:r>
        <w:t xml:space="preserve"> početku izvještajnog razdoblja sastoje se:</w:t>
      </w:r>
    </w:p>
    <w:p w:rsidR="00E72DF3" w:rsidRDefault="00BC5F47">
      <w:r>
        <w:lastRenderedPageBreak/>
        <w:t xml:space="preserve">V001 u iznosu </w:t>
      </w:r>
      <w:proofErr w:type="gramStart"/>
      <w:r>
        <w:t>od  349.322,23</w:t>
      </w:r>
      <w:proofErr w:type="gramEnd"/>
      <w:r>
        <w:t xml:space="preserve"> EUR   </w:t>
      </w:r>
    </w:p>
    <w:p w:rsidR="00E72DF3" w:rsidRDefault="00BC5F47">
      <w:r>
        <w:t>MZO </w:t>
      </w:r>
    </w:p>
    <w:p w:rsidR="00E72DF3" w:rsidRDefault="00BC5F47">
      <w:r>
        <w:t>231 Obveze za zaposlene                                                 259.000,26 EUR</w:t>
      </w:r>
    </w:p>
    <w:p w:rsidR="00E72DF3" w:rsidRDefault="00BC5F47">
      <w:r>
        <w:t>232 Obveze za materijalne rashode                                      4.917,59 EUR</w:t>
      </w:r>
    </w:p>
    <w:p w:rsidR="00E72DF3" w:rsidRDefault="00BC5F47">
      <w:r>
        <w:t>276 Obveze za predujmove, depozite, jamčevine (HZZO)    1.531,45 EUR</w:t>
      </w:r>
    </w:p>
    <w:p w:rsidR="00E72DF3" w:rsidRDefault="00BC5F47">
      <w:r>
        <w:t>GRAD </w:t>
      </w:r>
    </w:p>
    <w:p w:rsidR="00E72DF3" w:rsidRDefault="00BC5F47">
      <w:r>
        <w:t>231 Obveze</w:t>
      </w:r>
      <w:r>
        <w:t xml:space="preserve"> za zaposlene                     29.588,32 EUR</w:t>
      </w:r>
    </w:p>
    <w:p w:rsidR="00E72DF3" w:rsidRDefault="00BC5F47">
      <w:r>
        <w:t>232 Obveze za materijalne rashode      43.706,17 EUR</w:t>
      </w:r>
    </w:p>
    <w:p w:rsidR="00E72DF3" w:rsidRDefault="00BC5F47">
      <w:r>
        <w:t>237 Obveze za ostale nakn.građ i kuć    6.231,27 EUR</w:t>
      </w:r>
    </w:p>
    <w:p w:rsidR="00E72DF3" w:rsidRDefault="00BC5F47">
      <w:proofErr w:type="gramStart"/>
      <w:r>
        <w:t>27611 Obv pror kor za povrat u pror.</w:t>
      </w:r>
      <w:proofErr w:type="gramEnd"/>
      <w:r>
        <w:t xml:space="preserve">         107</w:t>
      </w:r>
      <w:proofErr w:type="gramStart"/>
      <w:r>
        <w:t>,61</w:t>
      </w:r>
      <w:proofErr w:type="gramEnd"/>
      <w:r>
        <w:t xml:space="preserve"> EUR</w:t>
      </w:r>
    </w:p>
    <w:p w:rsidR="00E72DF3" w:rsidRDefault="00BC5F47">
      <w:r>
        <w:t>OSTALO   </w:t>
      </w:r>
    </w:p>
    <w:p w:rsidR="00E72DF3" w:rsidRDefault="00BC5F47">
      <w:r>
        <w:t>232 Obveze za materijalne rashode        4.239,56 EUR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74.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t>Neplaćeni račun za prosinac 2025.</w:t>
      </w:r>
      <w:proofErr w:type="gramEnd"/>
      <w:r>
        <w:t xml:space="preserve"> </w:t>
      </w:r>
      <w:proofErr w:type="gramStart"/>
      <w:r>
        <w:t>Školska shema – voće.</w:t>
      </w:r>
      <w:proofErr w:type="gramEnd"/>
      <w:r>
        <w:t xml:space="preserve"> </w:t>
      </w:r>
      <w:proofErr w:type="gramStart"/>
      <w:r>
        <w:t>Račun je izdan krajem prosinca i imao je jako kratku valutu plaćanja.</w:t>
      </w:r>
      <w:proofErr w:type="gramEnd"/>
    </w:p>
    <w:p w:rsidR="00E72DF3" w:rsidRDefault="00BC5F47">
      <w:r>
        <w:t xml:space="preserve">Škola </w:t>
      </w:r>
      <w:proofErr w:type="gramStart"/>
      <w:r>
        <w:t>od</w:t>
      </w:r>
      <w:proofErr w:type="gramEnd"/>
      <w:r>
        <w:t xml:space="preserve"> 01.01.2024. </w:t>
      </w:r>
      <w:proofErr w:type="gramStart"/>
      <w:r>
        <w:t>nema</w:t>
      </w:r>
      <w:proofErr w:type="gramEnd"/>
      <w:r>
        <w:t xml:space="preserve"> više svoj žiro račun već posluje preko riznice Grada Zadra što usporava plaćanje računa na vrijeme.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</w:t>
      </w:r>
      <w:r>
        <w:rPr>
          <w:sz w:val="28"/>
        </w:rPr>
        <w:t>ješka 75.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E72D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proofErr w:type="gramStart"/>
      <w:r>
        <w:lastRenderedPageBreak/>
        <w:t>276121  2.545,05</w:t>
      </w:r>
      <w:proofErr w:type="gramEnd"/>
      <w:r>
        <w:t xml:space="preserve"> eura (HZZO bol iznad 42 dana)</w:t>
      </w:r>
    </w:p>
    <w:p w:rsidR="00E72DF3" w:rsidRDefault="00BC5F47">
      <w:proofErr w:type="gramStart"/>
      <w:r>
        <w:t>276122  2.437,04</w:t>
      </w:r>
      <w:proofErr w:type="gramEnd"/>
      <w:r>
        <w:t xml:space="preserve"> eura (HZZO ozljeda na radu)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76.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358.774,07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Nedospjele obveze odnose se </w:t>
      </w:r>
      <w:proofErr w:type="gramStart"/>
      <w:r>
        <w:t>na</w:t>
      </w:r>
      <w:proofErr w:type="gramEnd"/>
      <w:r>
        <w:t xml:space="preserve"> plaće prosinca 2025. </w:t>
      </w:r>
      <w:proofErr w:type="gramStart"/>
      <w:r>
        <w:t>te</w:t>
      </w:r>
      <w:proofErr w:type="gramEnd"/>
      <w:r>
        <w:t xml:space="preserve"> račune s valutom plaćanja u 2026. </w:t>
      </w:r>
      <w:proofErr w:type="gramStart"/>
      <w:r>
        <w:t>godini</w:t>
      </w:r>
      <w:proofErr w:type="gramEnd"/>
    </w:p>
    <w:p w:rsidR="00E72DF3" w:rsidRDefault="00BC5F47">
      <w:r>
        <w:t xml:space="preserve">231 –     312.946,44 EUR </w:t>
      </w:r>
      <w:proofErr w:type="gramStart"/>
      <w:r>
        <w:t>( MZO</w:t>
      </w:r>
      <w:proofErr w:type="gramEnd"/>
      <w:r>
        <w:t xml:space="preserve"> 279.663,21 EUR; GRAD 33.283,23 EUR)</w:t>
      </w:r>
    </w:p>
    <w:p w:rsidR="00E72DF3" w:rsidRDefault="00BC5F47">
      <w:r>
        <w:t>232 –       45.814,83 EUR (MZO 4.671,13 EUR; GRAD 36.201,95 EUR; OSTALO 4.941,75 EUR)</w:t>
      </w:r>
    </w:p>
    <w:p w:rsidR="00E72DF3" w:rsidRDefault="00BC5F47">
      <w:r>
        <w:t>237 –              12</w:t>
      </w:r>
      <w:proofErr w:type="gramStart"/>
      <w:r>
        <w:t>,80</w:t>
      </w:r>
      <w:proofErr w:type="gramEnd"/>
      <w:r>
        <w:t xml:space="preserve"> EUR (TUR)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77.</w:t>
      </w:r>
      <w:proofErr w:type="gramEnd"/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72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2D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9.643,40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2DF3" w:rsidRDefault="00BC5F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2DF3" w:rsidRDefault="00E72DF3">
      <w:pPr>
        <w:spacing w:after="0"/>
      </w:pPr>
    </w:p>
    <w:p w:rsidR="00E72DF3" w:rsidRDefault="00BC5F47">
      <w:r>
        <w:t xml:space="preserve">Konto 2721 odnosi se </w:t>
      </w:r>
      <w:proofErr w:type="gramStart"/>
      <w:r>
        <w:t>na</w:t>
      </w:r>
      <w:proofErr w:type="gramEnd"/>
      <w:r>
        <w:t xml:space="preserve"> jamstvo za ozbiljnost ugovora sklopljenog s Tvornicom kruha Zadar temeljem postupka javne nabave za krušne proizvode.</w:t>
      </w:r>
    </w:p>
    <w:p w:rsidR="00E72DF3" w:rsidRDefault="00E72DF3"/>
    <w:p w:rsidR="00E72DF3" w:rsidRDefault="00BC5F47">
      <w:pPr>
        <w:keepNext/>
        <w:spacing w:line="240" w:lineRule="auto"/>
        <w:jc w:val="center"/>
      </w:pPr>
      <w:proofErr w:type="gramStart"/>
      <w:r>
        <w:rPr>
          <w:sz w:val="28"/>
        </w:rPr>
        <w:t>Bilješka 78.</w:t>
      </w:r>
      <w:proofErr w:type="gramEnd"/>
    </w:p>
    <w:p w:rsidR="00E72DF3" w:rsidRDefault="00BC5F47">
      <w:pPr>
        <w:spacing w:line="240" w:lineRule="auto"/>
        <w:jc w:val="both"/>
      </w:pPr>
      <w:r>
        <w:rPr>
          <w:b/>
        </w:rPr>
        <w:t>EU izvještaj</w:t>
      </w:r>
    </w:p>
    <w:p w:rsidR="00E72DF3" w:rsidRDefault="00BC5F47">
      <w:r>
        <w:t xml:space="preserve">Podaci se odnose </w:t>
      </w:r>
      <w:proofErr w:type="gramStart"/>
      <w:r>
        <w:t>na</w:t>
      </w:r>
      <w:proofErr w:type="gramEnd"/>
      <w:r>
        <w:t xml:space="preserve"> projekt SHORE (Obzor IF 510) koji je započeo 2024. </w:t>
      </w:r>
      <w:proofErr w:type="gramStart"/>
      <w:r>
        <w:t>godine</w:t>
      </w:r>
      <w:proofErr w:type="gramEnd"/>
      <w:r>
        <w:t xml:space="preserve"> i završio 2025. </w:t>
      </w:r>
      <w:proofErr w:type="gramStart"/>
      <w:r>
        <w:t>godine</w:t>
      </w:r>
      <w:proofErr w:type="gramEnd"/>
      <w:r>
        <w:t>.</w:t>
      </w:r>
    </w:p>
    <w:p w:rsidR="00E72DF3" w:rsidRDefault="00BC5F47">
      <w:proofErr w:type="gramStart"/>
      <w:r>
        <w:t>U 2024.</w:t>
      </w:r>
      <w:proofErr w:type="gramEnd"/>
      <w:r>
        <w:t xml:space="preserve"> </w:t>
      </w:r>
      <w:proofErr w:type="gramStart"/>
      <w:r>
        <w:t>godini</w:t>
      </w:r>
      <w:proofErr w:type="gramEnd"/>
      <w:r>
        <w:t xml:space="preserve"> sjelo je 80% sredstava, a u 2025. </w:t>
      </w:r>
      <w:proofErr w:type="gramStart"/>
      <w:r>
        <w:t>20% po završnom izvješću.</w:t>
      </w:r>
      <w:proofErr w:type="gramEnd"/>
      <w:r>
        <w:t xml:space="preserve"> </w:t>
      </w:r>
      <w:proofErr w:type="gramStart"/>
      <w:r>
        <w:t>Za višak 2024.</w:t>
      </w:r>
      <w:proofErr w:type="gramEnd"/>
      <w:r>
        <w:t xml:space="preserve"> </w:t>
      </w:r>
      <w:proofErr w:type="gramStart"/>
      <w:r>
        <w:t>1.134,77 eura napravljena je korekcija rezultata i iskazana obve</w:t>
      </w:r>
      <w:r>
        <w:t>za za predujam.</w:t>
      </w:r>
      <w:proofErr w:type="gramEnd"/>
    </w:p>
    <w:p w:rsidR="00E72DF3" w:rsidRDefault="00E72DF3"/>
    <w:sectPr w:rsidR="00E72D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F3"/>
    <w:rsid w:val="00BC5F47"/>
    <w:rsid w:val="00E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Korisnik</cp:lastModifiedBy>
  <cp:revision>2</cp:revision>
  <dcterms:created xsi:type="dcterms:W3CDTF">2026-01-29T10:27:00Z</dcterms:created>
  <dcterms:modified xsi:type="dcterms:W3CDTF">2026-01-29T10:27:00Z</dcterms:modified>
</cp:coreProperties>
</file>