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bookmarkStart w:id="0" w:name="_GoBack"/>
      <w:bookmarkEnd w:id="0"/>
      <w:r>
        <w:rPr>
          <w:b/>
          <w:bCs/>
          <w:sz w:val="28"/>
          <w:szCs w:val="28"/>
        </w:rPr>
        <w:t xml:space="preserve">KRITERIJ OCJENJIVANJA </w:t>
      </w:r>
    </w:p>
    <w:p>
      <w:pPr>
        <w:pStyle w:val="Normal"/>
        <w:bidi w:val="0"/>
        <w:spacing w:lineRule="auto" w:line="259" w:beforeAutospacing="0" w:before="0" w:afterAutospacing="0" w:after="160"/>
        <w:ind w:left="0" w:right="0" w:hanging="0"/>
        <w:jc w:val="center"/>
        <w:rPr>
          <w:b/>
          <w:b/>
          <w:bCs/>
          <w:sz w:val="24"/>
          <w:szCs w:val="24"/>
        </w:rPr>
      </w:pPr>
      <w:r>
        <w:rPr>
          <w:b/>
          <w:bCs/>
          <w:sz w:val="24"/>
          <w:szCs w:val="24"/>
        </w:rPr>
        <w:t>Tjelesna i zdravstvena kultura- online nastava na daljinu</w:t>
      </w:r>
    </w:p>
    <w:p>
      <w:pPr>
        <w:pStyle w:val="ListParagraph"/>
        <w:numPr>
          <w:ilvl w:val="0"/>
          <w:numId w:val="2"/>
        </w:numPr>
        <w:bidi w:val="0"/>
        <w:spacing w:lineRule="auto" w:line="259" w:beforeAutospacing="0" w:before="0" w:afterAutospacing="0" w:after="160"/>
        <w:ind w:left="720" w:right="0" w:hanging="360"/>
        <w:contextualSpacing/>
        <w:jc w:val="left"/>
        <w:rPr>
          <w:rFonts w:ascii="Calibri" w:hAnsi="Calibri" w:eastAsia="Calibri" w:cs="Calibri" w:asciiTheme="minorAscii" w:cstheme="minorAscii" w:eastAsiaTheme="minorAscii" w:hAnsiTheme="minorAscii"/>
          <w:b/>
          <w:b/>
          <w:bCs/>
          <w:sz w:val="22"/>
          <w:szCs w:val="22"/>
        </w:rPr>
      </w:pPr>
      <w:r>
        <w:rPr>
          <w:b/>
          <w:bCs/>
        </w:rPr>
        <w:t>FORMATIVNO VREDNOVANJE</w:t>
      </w:r>
    </w:p>
    <w:p>
      <w:pPr>
        <w:pStyle w:val="Normal"/>
        <w:bidi w:val="0"/>
        <w:spacing w:lineRule="auto" w:line="259" w:beforeAutospacing="0" w:before="0" w:afterAutospacing="0" w:after="160"/>
        <w:ind w:left="0" w:right="0" w:hanging="0"/>
        <w:jc w:val="left"/>
        <w:rPr/>
      </w:pPr>
      <w:r>
        <w:rPr/>
        <w:t xml:space="preserve">Formativnim načinom vrednovanja kontinuirano pratimo učenikov praktični rad, napredak i aktivnost u online nastavi na daljinu kroz virtualnu učionicu. </w:t>
      </w:r>
    </w:p>
    <w:p>
      <w:pPr>
        <w:pStyle w:val="Normal"/>
        <w:bidi w:val="0"/>
        <w:spacing w:lineRule="auto" w:line="259" w:beforeAutospacing="0" w:before="0" w:afterAutospacing="0" w:after="160"/>
        <w:ind w:left="0" w:right="0" w:hanging="0"/>
        <w:jc w:val="left"/>
        <w:rPr/>
      </w:pPr>
      <w:r>
        <w:rPr/>
        <w:t>Kriterij formativnog vrednovanja TZK kroz virtualnu učionicu:</w:t>
      </w:r>
    </w:p>
    <w:p>
      <w:pPr>
        <w:pStyle w:val="ListParagraph"/>
        <w:numPr>
          <w:ilvl w:val="0"/>
          <w:numId w:val="1"/>
        </w:numPr>
        <w:bidi w:val="0"/>
        <w:spacing w:lineRule="auto" w:line="259" w:beforeAutospacing="0" w:before="0" w:afterAutospacing="0" w:after="0"/>
        <w:ind w:left="720" w:right="0" w:hanging="360"/>
        <w:contextualSpacing/>
        <w:jc w:val="left"/>
        <w:rPr>
          <w:rFonts w:ascii="Calibri" w:hAnsi="Calibri" w:eastAsia="Calibri" w:cs="Calibri" w:asciiTheme="minorAscii" w:cstheme="minorAscii" w:eastAsiaTheme="minorAscii" w:hAnsiTheme="minorAscii"/>
          <w:sz w:val="22"/>
          <w:szCs w:val="22"/>
        </w:rPr>
      </w:pPr>
      <w:r>
        <w:rPr/>
        <w:t>Učenik/ca NE SUDJELUJE u praćenju i izvršavanju zadanih elemenata tjelovježbe</w:t>
      </w:r>
    </w:p>
    <w:p>
      <w:pPr>
        <w:pStyle w:val="ListParagraph"/>
        <w:numPr>
          <w:ilvl w:val="0"/>
          <w:numId w:val="1"/>
        </w:numPr>
        <w:bidi w:val="0"/>
        <w:spacing w:lineRule="auto" w:line="259" w:beforeAutospacing="0" w:before="0" w:afterAutospacing="0" w:after="0"/>
        <w:ind w:left="720" w:right="0" w:hanging="360"/>
        <w:contextualSpacing/>
        <w:jc w:val="left"/>
        <w:rPr>
          <w:sz w:val="22"/>
          <w:szCs w:val="22"/>
        </w:rPr>
      </w:pPr>
      <w:r>
        <w:rPr/>
        <w:t>Učenik/ca DJELOMIČNO SUDJELUJE u praćenju i izvršavanju zadanih elemenata tjelovježbe</w:t>
      </w:r>
    </w:p>
    <w:p>
      <w:pPr>
        <w:pStyle w:val="ListParagraph"/>
        <w:numPr>
          <w:ilvl w:val="0"/>
          <w:numId w:val="1"/>
        </w:numPr>
        <w:bidi w:val="0"/>
        <w:spacing w:lineRule="auto" w:line="259" w:beforeAutospacing="0" w:before="0" w:afterAutospacing="0" w:after="160"/>
        <w:ind w:left="720" w:right="0" w:hanging="360"/>
        <w:contextualSpacing/>
        <w:jc w:val="left"/>
        <w:rPr>
          <w:sz w:val="22"/>
          <w:szCs w:val="22"/>
        </w:rPr>
      </w:pPr>
      <w:r>
        <w:rPr/>
        <w:t>Učenik/ca AKTIVNO SUDJELUJE u praćenju i izvršavanju zadanih elemenata tjelovježbe.</w:t>
      </w:r>
    </w:p>
    <w:p>
      <w:pPr>
        <w:pStyle w:val="Normal"/>
        <w:bidi w:val="0"/>
        <w:spacing w:lineRule="auto" w:line="259" w:beforeAutospacing="0" w:before="0" w:afterAutospacing="0" w:after="160"/>
        <w:ind w:left="0" w:right="0" w:hanging="0"/>
        <w:jc w:val="left"/>
        <w:rPr>
          <w:b/>
          <w:b/>
          <w:bCs/>
        </w:rPr>
      </w:pPr>
      <w:r>
        <w:rPr>
          <w:b/>
          <w:bCs/>
        </w:rPr>
        <w:t>Ukoliko postoje učenici koji nemaju dovoljno vrednovanih elemenata i ocjena( iz raznoraznih razloga) za zaključnu ocjenu, pristupit ćemo i drugom načinu vrednovanja ( sumativnom vrednovanju).</w:t>
      </w:r>
    </w:p>
    <w:p>
      <w:pPr>
        <w:pStyle w:val="ListParagraph"/>
        <w:numPr>
          <w:ilvl w:val="0"/>
          <w:numId w:val="2"/>
        </w:numPr>
        <w:bidi w:val="0"/>
        <w:spacing w:lineRule="auto" w:line="259" w:beforeAutospacing="0" w:before="0" w:afterAutospacing="0" w:after="160"/>
        <w:ind w:left="720" w:right="0" w:hanging="360"/>
        <w:contextualSpacing/>
        <w:jc w:val="left"/>
        <w:rPr>
          <w:rFonts w:ascii="Calibri" w:hAnsi="Calibri" w:eastAsia="Calibri" w:cs="Calibri" w:asciiTheme="minorAscii" w:cstheme="minorAscii" w:eastAsiaTheme="minorAscii" w:hAnsiTheme="minorAscii"/>
          <w:sz w:val="22"/>
          <w:szCs w:val="22"/>
        </w:rPr>
      </w:pPr>
      <w:r>
        <w:rPr>
          <w:b/>
          <w:bCs/>
        </w:rPr>
        <w:t>SUMATIVNO VREDNOVANJE</w:t>
      </w:r>
      <w:r>
        <w:rPr/>
        <w:t xml:space="preserve"> </w:t>
      </w:r>
    </w:p>
    <w:p>
      <w:pPr>
        <w:pStyle w:val="Normal"/>
        <w:bidi w:val="0"/>
        <w:spacing w:lineRule="auto" w:line="259" w:beforeAutospacing="0" w:before="0" w:afterAutospacing="0" w:after="160"/>
        <w:ind w:left="0" w:right="0" w:hanging="0"/>
        <w:jc w:val="left"/>
        <w:rPr/>
      </w:pPr>
      <w:r>
        <w:rPr/>
        <w:t>Sumativnim vrednovanjem procjenjujemo trenutačno učenikovo znanje i vještine kroz zadani rad koji se odnosi na elemente iz sportskih cjelina ( NOGOMET, KOŠARKA, RUKOMET, ODBOJKA).</w:t>
      </w:r>
    </w:p>
    <w:p>
      <w:pPr>
        <w:pStyle w:val="Normal"/>
        <w:bidi w:val="0"/>
        <w:spacing w:lineRule="auto" w:line="259" w:beforeAutospacing="0" w:before="0" w:afterAutospacing="0" w:after="160"/>
        <w:ind w:left="0" w:right="0" w:hanging="0"/>
        <w:jc w:val="left"/>
        <w:rPr/>
      </w:pPr>
      <w:r>
        <w:rPr/>
        <w:t>Ukoliko bude potrebe za ovim načinom ocjenjivanja, učenik/ca će dobiti zadatak napraviti (</w:t>
      </w:r>
      <w:r>
        <w:rPr>
          <w:b/>
          <w:bCs/>
        </w:rPr>
        <w:t>seminarski rad)</w:t>
      </w:r>
      <w:r>
        <w:rPr/>
        <w:t xml:space="preserve"> za  jedan zadani element iz nastavne cjeline navedenih sportova.</w:t>
      </w:r>
    </w:p>
    <w:p>
      <w:pPr>
        <w:pStyle w:val="Normal"/>
        <w:bidi w:val="0"/>
        <w:spacing w:lineRule="auto" w:line="259" w:beforeAutospacing="0" w:before="0" w:afterAutospacing="0" w:after="160"/>
        <w:ind w:left="0" w:right="0" w:hanging="0"/>
        <w:jc w:val="left"/>
        <w:rPr/>
      </w:pPr>
      <w:r>
        <w:rPr/>
        <w:t>Primjer: KOŠARKA- vođenje lopte s promjenom smijera i brzine kretanja (6 raz.)</w:t>
      </w:r>
    </w:p>
    <w:p>
      <w:pPr>
        <w:pStyle w:val="Normal"/>
        <w:bidi w:val="0"/>
        <w:spacing w:lineRule="auto" w:line="259" w:beforeAutospacing="0" w:before="0" w:afterAutospacing="0" w:after="160"/>
        <w:ind w:left="0" w:right="0" w:hanging="0"/>
        <w:jc w:val="left"/>
        <w:rPr/>
      </w:pPr>
      <w:r>
        <w:rPr/>
        <w:t xml:space="preserve">               </w:t>
      </w:r>
      <w:r>
        <w:rPr/>
        <w:t>ODBOJKA- podlaktično odbijanje (5 raz.)</w:t>
      </w:r>
    </w:p>
    <w:p>
      <w:pPr>
        <w:pStyle w:val="Normal"/>
        <w:bidi w:val="0"/>
        <w:spacing w:lineRule="auto" w:line="259" w:beforeAutospacing="0" w:before="0" w:afterAutospacing="0" w:after="160"/>
        <w:ind w:left="0" w:right="0" w:hanging="0"/>
        <w:jc w:val="left"/>
        <w:rPr>
          <w:rFonts w:ascii="Calibri" w:hAnsi="Calibri"/>
          <w:sz w:val="22"/>
          <w:szCs w:val="22"/>
        </w:rPr>
      </w:pPr>
      <w:r>
        <w:rPr>
          <w:b/>
          <w:bCs/>
        </w:rPr>
        <w:t>Kriterij sumativnog vrednovanja TZK kroz virtualnu učionicu:</w:t>
      </w:r>
    </w:p>
    <w:tbl>
      <w:tblPr>
        <w:tblW w:w="9696" w:type="dxa"/>
        <w:jc w:val="left"/>
        <w:tblInd w:w="-301" w:type="dxa"/>
        <w:tblCellMar>
          <w:top w:w="55" w:type="dxa"/>
          <w:left w:w="55" w:type="dxa"/>
          <w:bottom w:w="55" w:type="dxa"/>
          <w:right w:w="55" w:type="dxa"/>
        </w:tblCellMar>
        <w:tblLook w:firstRow="1" w:noVBand="1" w:lastRow="0" w:firstColumn="1" w:lastColumn="0" w:noHBand="0" w:val="04a0"/>
      </w:tblPr>
      <w:tblGrid>
        <w:gridCol w:w="1977"/>
        <w:gridCol w:w="1822"/>
        <w:gridCol w:w="1860"/>
        <w:gridCol w:w="2445"/>
        <w:gridCol w:w="1592"/>
      </w:tblGrid>
      <w:tr>
        <w:trPr/>
        <w:tc>
          <w:tcPr>
            <w:tcW w:w="1977" w:type="dxa"/>
            <w:tcBorders>
              <w:top w:val="single" w:sz="2" w:space="0" w:color="000000"/>
              <w:left w:val="single" w:sz="2" w:space="0" w:color="000000"/>
              <w:bottom w:val="single" w:sz="2" w:space="0" w:color="000000"/>
            </w:tcBorders>
            <w:shd w:color="auto" w:fill="auto" w:val="clear"/>
          </w:tcPr>
          <w:p>
            <w:pPr>
              <w:pStyle w:val="Sadrajitablice"/>
              <w:suppressLineNumbers/>
              <w:spacing w:before="0" w:after="200"/>
              <w:rPr>
                <w:rFonts w:ascii="Calibri" w:hAnsi="Calibri"/>
                <w:sz w:val="22"/>
                <w:szCs w:val="22"/>
              </w:rPr>
            </w:pPr>
            <w:r>
              <w:rPr>
                <w:sz w:val="22"/>
                <w:szCs w:val="22"/>
              </w:rPr>
              <w:t>Odličan (5)</w:t>
            </w:r>
          </w:p>
        </w:tc>
        <w:tc>
          <w:tcPr>
            <w:tcW w:w="1822" w:type="dxa"/>
            <w:tcBorders>
              <w:top w:val="single" w:sz="2" w:space="0" w:color="000000"/>
              <w:left w:val="single" w:sz="2" w:space="0" w:color="000000"/>
              <w:bottom w:val="single" w:sz="2" w:space="0" w:color="000000"/>
            </w:tcBorders>
            <w:shd w:color="auto" w:fill="auto" w:val="clear"/>
          </w:tcPr>
          <w:p>
            <w:pPr>
              <w:pStyle w:val="Sadrajitablice"/>
              <w:suppressLineNumbers/>
              <w:spacing w:before="0" w:after="200"/>
              <w:rPr>
                <w:rFonts w:ascii="Calibri" w:hAnsi="Calibri"/>
                <w:sz w:val="22"/>
                <w:szCs w:val="22"/>
              </w:rPr>
            </w:pPr>
            <w:r>
              <w:rPr>
                <w:sz w:val="22"/>
                <w:szCs w:val="22"/>
              </w:rPr>
              <w:t>Vrlo dobar (4)</w:t>
            </w:r>
          </w:p>
        </w:tc>
        <w:tc>
          <w:tcPr>
            <w:tcW w:w="1860" w:type="dxa"/>
            <w:tcBorders>
              <w:top w:val="single" w:sz="2" w:space="0" w:color="000000"/>
              <w:left w:val="single" w:sz="2" w:space="0" w:color="000000"/>
              <w:bottom w:val="single" w:sz="2" w:space="0" w:color="000000"/>
            </w:tcBorders>
            <w:shd w:color="auto" w:fill="auto" w:val="clear"/>
          </w:tcPr>
          <w:p>
            <w:pPr>
              <w:pStyle w:val="Sadrajitablice"/>
              <w:suppressLineNumbers/>
              <w:spacing w:before="0" w:after="200"/>
              <w:rPr>
                <w:rFonts w:ascii="Calibri" w:hAnsi="Calibri"/>
                <w:sz w:val="22"/>
                <w:szCs w:val="22"/>
              </w:rPr>
            </w:pPr>
            <w:r>
              <w:rPr>
                <w:sz w:val="22"/>
                <w:szCs w:val="22"/>
              </w:rPr>
              <w:t>Dobar (3)</w:t>
            </w:r>
          </w:p>
        </w:tc>
        <w:tc>
          <w:tcPr>
            <w:tcW w:w="2445" w:type="dxa"/>
            <w:tcBorders>
              <w:top w:val="single" w:sz="2" w:space="0" w:color="000000"/>
              <w:left w:val="single" w:sz="2" w:space="0" w:color="000000"/>
              <w:bottom w:val="single" w:sz="2" w:space="0" w:color="000000"/>
            </w:tcBorders>
            <w:shd w:color="auto" w:fill="auto" w:val="clear"/>
          </w:tcPr>
          <w:p>
            <w:pPr>
              <w:pStyle w:val="Sadrajitablice"/>
              <w:suppressLineNumbers/>
              <w:spacing w:before="0" w:after="200"/>
              <w:rPr>
                <w:rFonts w:ascii="Calibri" w:hAnsi="Calibri"/>
                <w:sz w:val="22"/>
                <w:szCs w:val="22"/>
              </w:rPr>
            </w:pPr>
            <w:r>
              <w:rPr>
                <w:sz w:val="22"/>
                <w:szCs w:val="22"/>
              </w:rPr>
              <w:t>Dovoljan (2)</w:t>
            </w:r>
          </w:p>
        </w:tc>
        <w:tc>
          <w:tcPr>
            <w:tcW w:w="1592" w:type="dxa"/>
            <w:tcBorders>
              <w:top w:val="single" w:sz="2" w:space="0" w:color="000000"/>
              <w:left w:val="single" w:sz="2" w:space="0" w:color="000000"/>
              <w:bottom w:val="single" w:sz="2" w:space="0" w:color="000000"/>
              <w:right w:val="single" w:sz="2" w:space="0" w:color="000000"/>
            </w:tcBorders>
            <w:shd w:color="auto" w:fill="auto" w:val="clear"/>
          </w:tcPr>
          <w:p>
            <w:pPr>
              <w:pStyle w:val="Sadrajitablice"/>
              <w:suppressLineNumbers/>
              <w:spacing w:before="0" w:after="200"/>
              <w:rPr>
                <w:rFonts w:ascii="Calibri" w:hAnsi="Calibri"/>
                <w:sz w:val="22"/>
                <w:szCs w:val="22"/>
              </w:rPr>
            </w:pPr>
            <w:r>
              <w:rPr>
                <w:sz w:val="22"/>
                <w:szCs w:val="22"/>
              </w:rPr>
              <w:t>Nedovoljan (1)</w:t>
            </w:r>
          </w:p>
        </w:tc>
      </w:tr>
      <w:tr>
        <w:trPr/>
        <w:tc>
          <w:tcPr>
            <w:tcW w:w="1977" w:type="dxa"/>
            <w:tcBorders>
              <w:left w:val="single" w:sz="2" w:space="0" w:color="000000"/>
              <w:bottom w:val="single" w:sz="2" w:space="0" w:color="000000"/>
            </w:tcBorders>
            <w:shd w:color="auto" w:fill="auto" w:val="clear"/>
          </w:tcPr>
          <w:p>
            <w:pPr>
              <w:pStyle w:val="Sadrajitablice"/>
              <w:suppressLineNumbers/>
              <w:spacing w:before="0" w:after="200"/>
              <w:rPr>
                <w:rFonts w:ascii="Calibri" w:hAnsi="Calibri"/>
                <w:sz w:val="22"/>
                <w:szCs w:val="22"/>
              </w:rPr>
            </w:pPr>
            <w:r>
              <w:rPr>
                <w:sz w:val="22"/>
                <w:szCs w:val="22"/>
              </w:rPr>
              <w:t xml:space="preserve">seminarski rad je iscrpan, formalno točno oblikovan, logički dobro strukturiran, činjenično točan, izražava originalan pristup temi, pravopisno točan </w:t>
            </w:r>
          </w:p>
        </w:tc>
        <w:tc>
          <w:tcPr>
            <w:tcW w:w="1822" w:type="dxa"/>
            <w:tcBorders>
              <w:left w:val="single" w:sz="2" w:space="0" w:color="000000"/>
              <w:bottom w:val="single" w:sz="2" w:space="0" w:color="000000"/>
            </w:tcBorders>
            <w:shd w:color="auto" w:fill="auto" w:val="clear"/>
          </w:tcPr>
          <w:p>
            <w:pPr>
              <w:pStyle w:val="Sadrajitablice"/>
              <w:suppressLineNumbers/>
              <w:spacing w:before="0" w:after="200"/>
              <w:rPr>
                <w:rFonts w:ascii="Calibri" w:hAnsi="Calibri"/>
                <w:sz w:val="22"/>
                <w:szCs w:val="22"/>
              </w:rPr>
            </w:pPr>
            <w:r>
              <w:rPr>
                <w:sz w:val="22"/>
                <w:szCs w:val="22"/>
              </w:rPr>
              <w:t xml:space="preserve">seminarski rad je obradio najvažnije činjenice vezane uz temu, zadovoljava formalne kriterije, ne izražava originalan pristup temi, postoje manje pogreške u logičkom strukturiranju sadržaja,  postoje manje pravopisne pogreške </w:t>
            </w:r>
          </w:p>
        </w:tc>
        <w:tc>
          <w:tcPr>
            <w:tcW w:w="1860" w:type="dxa"/>
            <w:tcBorders>
              <w:left w:val="single" w:sz="2" w:space="0" w:color="000000"/>
              <w:bottom w:val="single" w:sz="2" w:space="0" w:color="000000"/>
            </w:tcBorders>
            <w:shd w:color="auto" w:fill="auto" w:val="clear"/>
          </w:tcPr>
          <w:p>
            <w:pPr>
              <w:pStyle w:val="Sadrajitablice"/>
              <w:suppressLineNumbers/>
              <w:spacing w:before="0" w:after="200"/>
              <w:rPr>
                <w:rFonts w:ascii="Calibri" w:hAnsi="Calibri"/>
                <w:sz w:val="22"/>
                <w:szCs w:val="22"/>
              </w:rPr>
            </w:pPr>
            <w:r>
              <w:rPr>
                <w:sz w:val="22"/>
                <w:szCs w:val="22"/>
              </w:rPr>
              <w:t xml:space="preserve">seminarski rad je izostavio neke važne činjenica vezanih uz temu, dijelom je tema promašena, logički je loše strukturiran, zadovoljava formalne kriterije, ne izražava originalan pristup temi, postoje pravopisne pogreške </w:t>
            </w:r>
          </w:p>
        </w:tc>
        <w:tc>
          <w:tcPr>
            <w:tcW w:w="2445" w:type="dxa"/>
            <w:tcBorders>
              <w:left w:val="single" w:sz="2" w:space="0" w:color="000000"/>
              <w:bottom w:val="single" w:sz="2" w:space="0" w:color="000000"/>
            </w:tcBorders>
            <w:shd w:color="auto" w:fill="auto" w:val="clear"/>
          </w:tcPr>
          <w:p>
            <w:pPr>
              <w:pStyle w:val="Sadrajitablice"/>
              <w:suppressLineNumbers/>
              <w:spacing w:before="0" w:after="200"/>
              <w:rPr>
                <w:rFonts w:ascii="Calibri" w:hAnsi="Calibri"/>
                <w:sz w:val="22"/>
                <w:szCs w:val="22"/>
              </w:rPr>
            </w:pPr>
            <w:r>
              <w:rPr>
                <w:sz w:val="22"/>
                <w:szCs w:val="22"/>
              </w:rPr>
              <w:t xml:space="preserve">seminarski rad je izostavio više važnih činjenica vezanih uz temu, tema je većim dijelom promašena, uočene su značajnije pogreške na sadržajnom planu, logički je loše strukturiran, formalne kriterije zadovoljava samo djelomice, ne izražava originalan pristup temi,  uočene su veće gramatičke pogreške. </w:t>
            </w:r>
          </w:p>
        </w:tc>
        <w:tc>
          <w:tcPr>
            <w:tcW w:w="1592" w:type="dxa"/>
            <w:tcBorders>
              <w:left w:val="single" w:sz="2" w:space="0" w:color="000000"/>
              <w:bottom w:val="single" w:sz="2" w:space="0" w:color="000000"/>
              <w:right w:val="single" w:sz="2" w:space="0" w:color="000000"/>
            </w:tcBorders>
            <w:shd w:color="auto" w:fill="auto" w:val="clear"/>
          </w:tcPr>
          <w:p>
            <w:pPr>
              <w:pStyle w:val="Sadrajitablice"/>
              <w:suppressLineNumbers/>
              <w:spacing w:before="0" w:after="200"/>
              <w:rPr>
                <w:rFonts w:ascii="Calibri" w:hAnsi="Calibri"/>
                <w:sz w:val="22"/>
                <w:szCs w:val="22"/>
              </w:rPr>
            </w:pPr>
            <w:r>
              <w:rPr>
                <w:sz w:val="22"/>
                <w:szCs w:val="22"/>
              </w:rPr>
              <w:t>Učenik nakon upozorenja nije napravio seminarski rad</w:t>
            </w:r>
          </w:p>
        </w:tc>
      </w:tr>
    </w:tbl>
    <w:p>
      <w:pPr>
        <w:pStyle w:val="Normal"/>
        <w:bidi w:val="0"/>
        <w:jc w:val="left"/>
        <w:rPr>
          <w:rFonts w:ascii="Calibri" w:hAnsi="Calibri" w:eastAsia="Calibri" w:cs="Calibri"/>
          <w:sz w:val="22"/>
          <w:szCs w:val="22"/>
          <w:lang w:val="hr-HR"/>
        </w:rPr>
      </w:pPr>
      <w:r>
        <w:rPr>
          <w:rFonts w:eastAsia="Calibri" w:cs="Calibri"/>
          <w:sz w:val="22"/>
          <w:szCs w:val="22"/>
          <w:lang w:val="hr-HR"/>
        </w:rPr>
      </w:r>
    </w:p>
    <w:p>
      <w:pPr>
        <w:pStyle w:val="Normal"/>
        <w:bidi w:val="0"/>
        <w:jc w:val="left"/>
        <w:rPr>
          <w:rFonts w:ascii="Calibri" w:hAnsi="Calibri" w:eastAsia="Calibri" w:cs="Calibri"/>
          <w:sz w:val="22"/>
          <w:szCs w:val="22"/>
        </w:rPr>
      </w:pPr>
      <w:r>
        <w:rPr>
          <w:rFonts w:eastAsia="Calibri" w:cs="Calibri"/>
          <w:sz w:val="22"/>
          <w:szCs w:val="22"/>
        </w:rPr>
        <w:t xml:space="preserve">AKTIV TZK </w:t>
      </w:r>
    </w:p>
    <w:p>
      <w:pPr>
        <w:pStyle w:val="Normal"/>
        <w:bidi w:val="0"/>
        <w:jc w:val="left"/>
        <w:rPr>
          <w:rFonts w:ascii="Calibri" w:hAnsi="Calibri" w:eastAsia="Calibri" w:cs="Calibri"/>
          <w:sz w:val="22"/>
          <w:szCs w:val="22"/>
        </w:rPr>
      </w:pPr>
      <w:r>
        <w:rPr>
          <w:rFonts w:eastAsia="Calibri" w:cs="Calibri"/>
          <w:sz w:val="22"/>
          <w:szCs w:val="22"/>
        </w:rPr>
        <w:t>Učitelji: Josip Kvartuč, prof., Zoran Veselinović, prof., Josip Knežević, prof.</w:t>
      </w:r>
    </w:p>
    <w:p>
      <w:pPr>
        <w:pStyle w:val="Normal"/>
        <w:bidi w:val="0"/>
        <w:jc w:val="center"/>
        <w:rPr/>
      </w:pPr>
      <w:r>
        <w:rPr/>
      </w:r>
    </w:p>
    <w:p>
      <w:pPr>
        <w:pStyle w:val="Normal"/>
        <w:bidi w:val="0"/>
        <w:spacing w:before="0" w:after="160"/>
        <w:jc w:val="center"/>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H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Calibri" w:hAnsi="Calibri" w:cs="Symbol"/>
      <w:sz w:val="22"/>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Calibri" w:hAnsi="Calibri" w:cs="Symbol"/>
      <w:sz w:val="22"/>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pPr>
      <w:spacing w:before="0" w:after="160"/>
      <w:ind w:left="720" w:hanging="0"/>
      <w:contextualSpacing/>
    </w:pPr>
    <w:rPr/>
  </w:style>
  <w:style w:type="paragraph" w:styleId="Sadrajitablice">
    <w:name w:val="Sadržaji tablice"/>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LibreOffice/6.2.8.2$Windows_X86_64 LibreOffice_project/f82ddfca21ebc1e222a662a32b25c0c9d20169ee</Application>
  <Pages>2</Pages>
  <Words>317</Words>
  <Characters>2107</Characters>
  <CharactersWithSpaces>2418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2020-04-17T09:19:55Z</dcterms:created>
  <dc:creator>Josip Kvartuč</dc:creator>
  <dc:description/>
  <dc:language>hr-HR</dc:language>
  <cp:lastModifiedBy/>
  <dcterms:modified xsi:type="dcterms:W3CDTF">2020-04-17T19:48:20Z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