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KRITERIJ ZA VREDNOVANJE  U NASTAVI  NA DALJINU ZA 4.RAZRED</w:t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Članovi Aktiva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Elza Nadarević Baričić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Ivana Kesić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Zvjezdana Badžoka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Janja Marinković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Milorad Petričević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 Medi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Nela Ledenko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Kristina Pešut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 Rudić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HRVATSKI JEZIK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54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FORMATIVNO VREDNOVANJE</w:t>
      </w:r>
    </w:p>
    <w:p>
      <w:pPr>
        <w:pStyle w:val="Normal"/>
        <w:spacing w:lineRule="auto" w:line="254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b/>
          <w:sz w:val="32"/>
          <w:szCs w:val="32"/>
        </w:rPr>
        <w:t>AKTIVNOST</w:t>
      </w:r>
      <w:r>
        <w:rPr>
          <w:rFonts w:eastAsia="Calibri" w:cs="Times New Roman" w:ascii="Times New Roman" w:hAnsi="Times New Roman"/>
          <w:sz w:val="32"/>
          <w:szCs w:val="32"/>
        </w:rPr>
        <w:t xml:space="preserve"> – predane zadaće; riješeni poslikani zadatci iz radne bilježnice,   sažimanje lekcija... te provjeravanje točnosti tih zadataka – </w:t>
      </w:r>
      <w:r>
        <w:rPr>
          <w:rFonts w:eastAsia="Calibri" w:cs="Times New Roman" w:ascii="Times New Roman" w:hAnsi="Times New Roman"/>
          <w:b/>
          <w:sz w:val="32"/>
          <w:szCs w:val="32"/>
        </w:rPr>
        <w:t>prati se i upisuje u bilješku kao formativno vrednovanje.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54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SUMATIVNO VREDNOVANJE</w:t>
      </w:r>
    </w:p>
    <w:p>
      <w:pPr>
        <w:pStyle w:val="Normal"/>
        <w:spacing w:lineRule="auto" w:line="254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/>
          <w:b/>
          <w:bCs/>
          <w:sz w:val="32"/>
          <w:szCs w:val="32"/>
        </w:rPr>
        <w:t>ANALITIČKA RUBRIKA ZA VREDNOVANJE STRIPA PO PRIČI</w:t>
      </w:r>
    </w:p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W w:w="949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735"/>
        <w:gridCol w:w="2270"/>
        <w:gridCol w:w="2460"/>
        <w:gridCol w:w="3029"/>
      </w:tblGrid>
      <w:tr>
        <w:trPr/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RAZINE OSTVARENOSTI KRITERIJA</w:t>
            </w:r>
          </w:p>
        </w:tc>
      </w:tr>
      <w:tr>
        <w:trPr/>
        <w:tc>
          <w:tcPr>
            <w:tcW w:w="17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1 bod</w:t>
            </w:r>
          </w:p>
        </w:tc>
      </w:tr>
      <w:tr>
        <w:trPr>
          <w:trHeight w:val="2355" w:hRule="atLeast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SADRŽAJ – FABULARNI TIJEK U STRIPU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  <w:i/>
                <w:i/>
              </w:rPr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ima tijek koji se ne prekida, priča se iz stripa može iščitati. Fabula je prikazana slijedom kvadrata. </w:t>
            </w:r>
            <w:r>
              <w:rPr>
                <w:rFonts w:eastAsia="Calibri" w:cs="Times New Roman"/>
                <w:i/>
              </w:rPr>
              <w:t>Učenik oblikuje sadržaj stripa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2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ima tijek koji se ponekad prekida, priča se iz stripa može djelomično iščitati. </w:t>
            </w:r>
            <w:r>
              <w:rPr>
                <w:rFonts w:eastAsia="Calibri" w:cs="Times New Roman"/>
                <w:i/>
              </w:rPr>
              <w:t>Učenik oblikuje sadržaj stripa djelomično, nije u potpunosti zanimljiv i originalan.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20"/>
              <w:rPr>
                <w:rFonts w:ascii="Calibri" w:hAnsi="Calibri" w:eastAsia="Calibri" w:cs="Times New Roman"/>
              </w:rPr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nema   tijek koji se ne prekida, priča se iz stripa ne može iščitati. </w:t>
            </w:r>
            <w:r>
              <w:rPr>
                <w:rFonts w:eastAsia="Calibri" w:cs="Times New Roman"/>
                <w:i/>
              </w:rPr>
              <w:t>Učenik oblikuje sadržaj stripa djelomično, nije  zanimljiv i originalan.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PRAVOPIS I SLOVNICA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  <w:i/>
                <w:i/>
              </w:rPr>
            </w:pPr>
            <w:r>
              <w:rPr>
                <w:rFonts w:eastAsia="Times New Roman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20"/>
              <w:rPr>
                <w:rFonts w:ascii="Calibri" w:hAnsi="Calibri" w:eastAsia="Calibri" w:cs="Times New Roman"/>
                <w:i/>
                <w:i/>
              </w:rPr>
            </w:pPr>
            <w:r>
              <w:rPr>
                <w:rFonts w:eastAsia="Times New Roman" w:cs="Arial"/>
                <w:i/>
                <w:lang w:eastAsia="hr-HR"/>
              </w:rPr>
              <w:t>Učenik uglavnom primjenjuje pravopisne i gramatičke zakonitosti, čini pogreške.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  <w:i/>
                <w:i/>
              </w:rPr>
            </w:pPr>
            <w:r>
              <w:rPr>
                <w:rFonts w:eastAsia="Times New Roman" w:cs="Arial"/>
                <w:i/>
                <w:lang w:eastAsia="hr-HR"/>
              </w:rPr>
              <w:t>Učenik ne primjenjuje pravopisne i gramatičke zakonitosti.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IZRAŽAJNA SREDSTVA STRIPA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  <w:i/>
                <w:i/>
              </w:rPr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ima sva izražajna sredstva – sliku, riječ, kadar, plan, rakurs. Proces kadriranja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</w:rPr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ima neka izražajna sredstva – sliku, riječ, kadar, plan, rakurs. Proces kadriranja nije u potpunosti ostvaren.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>
                <w:rFonts w:ascii="Calibri" w:hAnsi="Calibri" w:eastAsia="Calibri" w:cs="Times New Roman"/>
              </w:rPr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nema sva izražajna sredstva – sliku, riječ, kadar, plan, rakurs. Proces kadriranja nije u potpunosti ostvaren.</w:t>
            </w:r>
          </w:p>
        </w:tc>
      </w:tr>
    </w:tbl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  <w:t>11 – 12 - odličan (5)</w:t>
      </w:r>
    </w:p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  <w:t>9 - 10 – vrlo dobar (4)</w:t>
      </w:r>
    </w:p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  <w:t>7 - 8 – dobar (3)</w:t>
      </w:r>
    </w:p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  <w:t>5 – 6 – dovoljan (2)</w:t>
      </w:r>
    </w:p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4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52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VREDNOVANJE PISANIH SASTAVA-SUMATIVNO VREDNOVANJE</w:t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7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9"/>
        <w:gridCol w:w="2374"/>
        <w:gridCol w:w="2551"/>
        <w:gridCol w:w="2273"/>
      </w:tblGrid>
      <w:tr>
        <w:trPr>
          <w:trHeight w:val="372" w:hRule="atLeast"/>
        </w:trPr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</w:r>
          </w:p>
        </w:tc>
        <w:tc>
          <w:tcPr>
            <w:tcW w:w="719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>
          <w:trHeight w:val="405" w:hRule="atLeast"/>
        </w:trPr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SASTAVNICE</w:t>
            </w:r>
          </w:p>
        </w:tc>
        <w:tc>
          <w:tcPr>
            <w:tcW w:w="2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treba popraviti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djelomično</w:t>
            </w:r>
          </w:p>
        </w:tc>
        <w:tc>
          <w:tcPr>
            <w:tcW w:w="2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</w:tc>
      </w:tr>
      <w:tr>
        <w:trPr>
          <w:trHeight w:val="1593" w:hRule="atLeast"/>
        </w:trPr>
        <w:tc>
          <w:tcPr>
            <w:tcW w:w="15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struktura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nema jasno odvojenu strukturu: uvod, glavni dio i zaključak. 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ima odvojenu strukturu, no informacije i ideje nisu jasno raspoređene u uvod, glavni dio i zaključak. </w:t>
            </w:r>
          </w:p>
        </w:tc>
        <w:tc>
          <w:tcPr>
            <w:tcW w:w="2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ima jasno odvojenu strukturu i informacije i ideje dobro su raspoređene u uvod, glavni dio i zaključak. </w:t>
            </w:r>
          </w:p>
        </w:tc>
      </w:tr>
      <w:tr>
        <w:trPr>
          <w:trHeight w:val="1105" w:hRule="atLeast"/>
        </w:trPr>
        <w:tc>
          <w:tcPr>
            <w:tcW w:w="15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originalnost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nije zanimljiv i originalan. 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donekle je zanimljiv i originalan. </w:t>
            </w:r>
          </w:p>
        </w:tc>
        <w:tc>
          <w:tcPr>
            <w:tcW w:w="2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je rad jako zanimljiv i originalan. </w:t>
            </w:r>
          </w:p>
        </w:tc>
      </w:tr>
      <w:tr>
        <w:trPr>
          <w:trHeight w:val="1135" w:hRule="atLeast"/>
        </w:trPr>
        <w:tc>
          <w:tcPr>
            <w:tcW w:w="15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tema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ne odgovara zadanoj temi. 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ne odgovara u potpunosti zadanoj temi. </w:t>
            </w:r>
          </w:p>
        </w:tc>
        <w:tc>
          <w:tcPr>
            <w:tcW w:w="2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Pisani rad u potpunosti odgovara zadanoj temi. </w:t>
            </w:r>
          </w:p>
        </w:tc>
      </w:tr>
      <w:tr>
        <w:trPr>
          <w:trHeight w:val="1265" w:hRule="atLeast"/>
        </w:trPr>
        <w:tc>
          <w:tcPr>
            <w:tcW w:w="15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opisi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Opisi nisu detaljni, izbor riječi nije raznolik i tekst ne obiluje pridjevima. 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Opisi su donekle detaljni, izbor riječi donekle je raznolik i opis sadrži poneki pridjev. </w:t>
            </w:r>
          </w:p>
        </w:tc>
        <w:tc>
          <w:tcPr>
            <w:tcW w:w="2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Opisi su detaljni i bogati, izbor riječi je raznolik i u opis sadrži mnogo raznolikih pridjeva. </w:t>
            </w:r>
          </w:p>
        </w:tc>
      </w:tr>
      <w:tr>
        <w:trPr>
          <w:trHeight w:val="1327" w:hRule="atLeast"/>
        </w:trPr>
        <w:tc>
          <w:tcPr>
            <w:tcW w:w="15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gramatika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U tekstu se uglavnom ne poštuje gramatička norma (glagolska vremena, rečenice...). 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U tekstu se donekle poštuje gramatička norma (glagolska vremena, rečenice...). </w:t>
            </w:r>
          </w:p>
        </w:tc>
        <w:tc>
          <w:tcPr>
            <w:tcW w:w="2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U tekstu se poštuje gramatička norma (glagolska vremena, rečenice...). </w:t>
            </w:r>
          </w:p>
        </w:tc>
      </w:tr>
      <w:tr>
        <w:trPr>
          <w:trHeight w:val="1105" w:hRule="atLeast"/>
        </w:trPr>
        <w:tc>
          <w:tcPr>
            <w:tcW w:w="15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pravopis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U tekstu ima više od 15 pravopisnih pogrešaka. 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U tekstu ima od 5 do 15 pravopisnih pogrešaka. </w:t>
            </w:r>
          </w:p>
        </w:tc>
        <w:tc>
          <w:tcPr>
            <w:tcW w:w="2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U tekstu nema pravopisnih pogrešaka ili ih je vrlo malo.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PRIRODA I DRUŠTVO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Arial" w:hAnsi="Arial"/>
          <w:b/>
          <w:b/>
          <w:bCs/>
          <w:color w:val="0070C0"/>
          <w:sz w:val="32"/>
          <w:szCs w:val="32"/>
        </w:rPr>
      </w:pPr>
      <w:r>
        <w:rPr>
          <w:rFonts w:ascii="Arial" w:hAnsi="Arial"/>
          <w:b/>
          <w:bCs/>
          <w:color w:val="0070C0"/>
          <w:sz w:val="32"/>
          <w:szCs w:val="32"/>
        </w:rPr>
        <w:t>KRITERIJ VRENOVANJA NASTAVE PRIRODE I                    DRUŠTVA U 4.RAZREDU</w:t>
      </w:r>
    </w:p>
    <w:p>
      <w:pPr>
        <w:pStyle w:val="ListParagrap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ListParagrap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ZALAGANJE</w:t>
      </w:r>
      <w:r>
        <w:rPr>
          <w:rFonts w:ascii="Arial" w:hAnsi="Arial"/>
          <w:sz w:val="24"/>
          <w:szCs w:val="24"/>
        </w:rPr>
        <w:t xml:space="preserve">   – aktivnost i samostalnost učenika, jesu li sve zadaće (umna mapa, kvizovi, pitanja za ponavljanje, bilješke o praćenju lekcije) izrađene na vrijeme (redovite i kvalitetne) ; sudjelovanje i  praćenje online nastave</w:t>
      </w:r>
    </w:p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ascii="Arial" w:hAnsi="Arial"/>
          <w:sz w:val="24"/>
          <w:szCs w:val="24"/>
        </w:rPr>
        <w:t>KRITERIJI VREDNOVANJA ZALAGANJA kroz ZADAĆE</w:t>
      </w:r>
      <w:bookmarkStart w:id="0" w:name="_GoBack1"/>
      <w:bookmarkEnd w:id="0"/>
    </w:p>
    <w:tbl>
      <w:tblPr>
        <w:tblStyle w:val="TableGrid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Zadaće izvršava i predaje  na vrijeme i samostalno izrađuje.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Zadaće izvršava i predaje na vrijeme uz minimalnu podršku učiteljice.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Zadaće uglavnom predaje na vrijeme ali nepotpune ili dijelom neispravne.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Uglavnom neredovito izvršava zadaće, sadržajno nepotpune i netočne.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NEDOVOLJAN  (1)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Ne izvršava zadaće na vrijeme;  sadržajno nepotpune i netočne.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ascii="Arial" w:hAnsi="Arial"/>
          <w:b/>
          <w:bCs/>
          <w:sz w:val="24"/>
          <w:szCs w:val="24"/>
        </w:rPr>
        <w:t>SAMOSTALNI RAD</w:t>
      </w:r>
      <w:r>
        <w:rPr>
          <w:rFonts w:ascii="Arial" w:hAnsi="Arial"/>
          <w:sz w:val="24"/>
          <w:szCs w:val="24"/>
        </w:rPr>
        <w:t xml:space="preserve"> –  praktični radovi, istraživački rad, prezentacije, 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FORMATIVNO VREDNOVANJE – odgovori na kviz, igre, sažetci videolekcija/teksta u udžbeniku ili prezentacije, </w:t>
      </w:r>
    </w:p>
    <w:p>
      <w:pPr>
        <w:pStyle w:val="Normal"/>
        <w:rPr/>
      </w:pPr>
      <w:r>
        <w:rPr>
          <w:rStyle w:val="Zadanifontodlomka1"/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KRITERIJI OCJENJIVANJA I ELEMENTI PRAĆENJA PREZENTACIJE</w:t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09"/>
        <w:gridCol w:w="1508"/>
        <w:gridCol w:w="1510"/>
        <w:gridCol w:w="1512"/>
        <w:gridCol w:w="1509"/>
        <w:gridCol w:w="1523"/>
      </w:tblGrid>
      <w:tr>
        <w:trPr/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>Elementi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>Nedovoljan (1)</w:t>
            </w:r>
          </w:p>
        </w:tc>
      </w:tr>
      <w:tr>
        <w:trPr>
          <w:trHeight w:val="1924" w:hRule="atLeast"/>
        </w:trPr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>Sadržaj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točno, jasno, primjerena količina gradiva i primjereno uzrastu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neprimjerena količina gradiva, korištenje nerazumljivih pojmova 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nejasno, sadržaj sadrži pogreške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nerazumljivo i nejasan 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Učenik nije pripremio </w:t>
            </w:r>
          </w:p>
        </w:tc>
      </w:tr>
      <w:tr>
        <w:trPr/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Izgled 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uredan, pregledan, sustavan, veličina slova (čitljivo s 2 metra)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nije u potpunosti pregledan 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nepregledan, bez sustavnog redoslijed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uppressLineNumbers/>
              <w:spacing w:lineRule="auto" w:line="276" w:before="0" w:after="20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neuredan, nepregledan 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240" w:beforeAutospacing="1" w:afterAutospacing="1"/>
        <w:textAlignment w:val="baseline"/>
        <w:rPr>
          <w:color w:val="FF0000"/>
        </w:rPr>
      </w:pPr>
      <w:r>
        <w:rPr>
          <w:rFonts w:eastAsia="Times New Roman" w:ascii="Arial" w:hAnsi="Arial"/>
          <w:b/>
          <w:bCs/>
          <w:color w:val="FF0000"/>
          <w:sz w:val="24"/>
          <w:szCs w:val="24"/>
        </w:rPr>
        <w:t>KRITERIJ ZA VREDNOVANJE UMNE MAPE</w:t>
      </w:r>
    </w:p>
    <w:tbl>
      <w:tblPr>
        <w:tblStyle w:val="TableGrid"/>
        <w:tblW w:w="9356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0"/>
        <w:gridCol w:w="2413"/>
        <w:gridCol w:w="2464"/>
        <w:gridCol w:w="2608"/>
      </w:tblGrid>
      <w:tr>
        <w:trPr>
          <w:trHeight w:val="428" w:hRule="atLeast"/>
        </w:trPr>
        <w:tc>
          <w:tcPr>
            <w:tcW w:w="187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b/>
                <w:sz w:val="24"/>
                <w:szCs w:val="24"/>
              </w:rPr>
              <w:t>SASTAVNICE</w:t>
            </w:r>
          </w:p>
        </w:tc>
        <w:tc>
          <w:tcPr>
            <w:tcW w:w="748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RAZINE OSTVARENOSTI KRITERIJA</w:t>
            </w:r>
          </w:p>
        </w:tc>
      </w:tr>
      <w:tr>
        <w:trPr>
          <w:trHeight w:val="473" w:hRule="atLeast"/>
        </w:trPr>
        <w:tc>
          <w:tcPr>
            <w:tcW w:w="187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izvrsno</w:t>
            </w:r>
          </w:p>
        </w:tc>
        <w:tc>
          <w:tcPr>
            <w:tcW w:w="24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dobro</w:t>
            </w:r>
          </w:p>
        </w:tc>
        <w:tc>
          <w:tcPr>
            <w:tcW w:w="2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potrebno doraditi</w:t>
            </w:r>
          </w:p>
        </w:tc>
      </w:tr>
      <w:tr>
        <w:trPr>
          <w:trHeight w:val="473" w:hRule="atLeast"/>
        </w:trPr>
        <w:tc>
          <w:tcPr>
            <w:tcW w:w="187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(3 boda)</w:t>
            </w:r>
          </w:p>
        </w:tc>
        <w:tc>
          <w:tcPr>
            <w:tcW w:w="24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(2 boda)</w:t>
            </w:r>
          </w:p>
        </w:tc>
        <w:tc>
          <w:tcPr>
            <w:tcW w:w="2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(1 bod)</w:t>
            </w:r>
          </w:p>
        </w:tc>
      </w:tr>
      <w:tr>
        <w:trPr/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pojmovi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>Mapa sadrži sve pojmove potrebne za prikaz razumijevanja te vrlo mali broj pojmova koji nisu nužni za prikaz, ali ne umanjuju razumljivost mape.</w:t>
            </w:r>
          </w:p>
        </w:tc>
        <w:tc>
          <w:tcPr>
            <w:tcW w:w="2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 xml:space="preserve">Mapa sadrži većinu pojmova potrebnih za prikaz razumijevanja  ali i određeni broj pojmova koji nisu neophodni za prikaz. </w:t>
            </w:r>
          </w:p>
        </w:tc>
        <w:tc>
          <w:tcPr>
            <w:tcW w:w="26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>Odabir pojmova minimalno omogućuje prikaz razumijevanja.</w:t>
            </w:r>
            <w:r>
              <w:rPr>
                <w:rFonts w:eastAsia="Times New Roman"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povezanost pojmova</w:t>
            </w:r>
          </w:p>
        </w:tc>
        <w:tc>
          <w:tcPr>
            <w:tcW w:w="24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>Veze između pojmova odražavaju razumijevanje odnosa navedenih pojmova.</w:t>
            </w:r>
            <w:r>
              <w:rPr>
                <w:rFonts w:eastAsia="Times New Roman" w:ascii="Arial" w:hAnsi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 xml:space="preserve">Većina veza između pojmova je opravdana i točna, a samo neke manje doprinose prikazu razumijevanja odnosa pojmova. </w:t>
            </w:r>
            <w:r>
              <w:rPr>
                <w:rFonts w:eastAsia="Times New Roman" w:ascii="Arial" w:hAnsi="Arial"/>
                <w:sz w:val="24"/>
                <w:szCs w:val="24"/>
              </w:rPr>
              <w:t> </w:t>
            </w:r>
          </w:p>
        </w:tc>
        <w:tc>
          <w:tcPr>
            <w:tcW w:w="26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 xml:space="preserve">Veze između pojmova minimalno prikazuju razumijevanje i/ili nisu u potpunosti opravdane. </w:t>
            </w:r>
            <w:r>
              <w:rPr>
                <w:rFonts w:eastAsia="Times New Roman"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b/>
                <w:bCs/>
                <w:color w:val="333333"/>
                <w:sz w:val="24"/>
                <w:szCs w:val="24"/>
              </w:rPr>
              <w:t>razumijevanje</w:t>
            </w:r>
            <w:r>
              <w:rPr>
                <w:rFonts w:eastAsia="Times New Roman" w:ascii="Arial" w:hAnsi="Arial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>Mapa je oblikovana na način da ju je lako pratiti te prikazuje sveobuhvatnu razumijevanje.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>Mapa je oblikovana na način da ju je uglavnom lako pratiti te prikazuje suštinsko razumijevanje uz minimalne pogreške.</w:t>
            </w:r>
          </w:p>
        </w:tc>
        <w:tc>
          <w:tcPr>
            <w:tcW w:w="26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ascii="Arial" w:hAnsi="Arial"/>
                <w:color w:val="333333"/>
                <w:sz w:val="24"/>
                <w:szCs w:val="24"/>
              </w:rPr>
              <w:t>Mapa je oblikovana na način da ju je teže pratiti te ukazuje na značajnije pogreške u razumijevanju.</w:t>
            </w:r>
          </w:p>
        </w:tc>
      </w:tr>
      <w:tr>
        <w:trPr>
          <w:trHeight w:val="316" w:hRule="atLeast"/>
        </w:trPr>
        <w:tc>
          <w:tcPr>
            <w:tcW w:w="935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Arial" w:hAnsi="Arial"/>
                <w:b/>
                <w:bCs/>
                <w:color w:val="0070C0"/>
                <w:sz w:val="24"/>
                <w:szCs w:val="24"/>
              </w:rPr>
              <w:t>Bodovi za ocjene: 8 - 9 = odličan (5); 6 - 7 = vrlo dobar (4); 4 - 5 = dobar (3); 3 = dovoljan (2)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ascii="Arial" w:hAnsi="Arial"/>
          <w:b/>
          <w:bCs/>
          <w:color w:val="333333"/>
          <w:sz w:val="24"/>
          <w:szCs w:val="24"/>
        </w:rPr>
        <w:t>KRITERIJ ZA VREDNOVANJE PRAKTIČNOG RADA</w:t>
      </w:r>
    </w:p>
    <w:tbl>
      <w:tblPr>
        <w:tblStyle w:val="TableGrid11"/>
        <w:tblW w:w="949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2"/>
        <w:gridCol w:w="2574"/>
        <w:gridCol w:w="2579"/>
        <w:gridCol w:w="2582"/>
      </w:tblGrid>
      <w:tr>
        <w:trPr>
          <w:trHeight w:val="438" w:hRule="atLeast"/>
        </w:trPr>
        <w:tc>
          <w:tcPr>
            <w:tcW w:w="17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73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Arial" w:hAnsi="Arial"/>
                <w:b/>
                <w:bCs/>
                <w:sz w:val="24"/>
                <w:szCs w:val="24"/>
              </w:rPr>
              <w:t>RAZINE OSTVARENOSTI KRITERIJA</w:t>
            </w:r>
          </w:p>
        </w:tc>
      </w:tr>
      <w:tr>
        <w:trPr>
          <w:trHeight w:val="549" w:hRule="atLeast"/>
        </w:trPr>
        <w:tc>
          <w:tcPr>
            <w:tcW w:w="176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Arial" w:hAnsi="Arial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257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Arial" w:hAnsi="Arial"/>
                <w:b/>
                <w:bCs/>
                <w:sz w:val="24"/>
                <w:szCs w:val="24"/>
              </w:rPr>
              <w:t>u potpunosti</w:t>
            </w:r>
          </w:p>
        </w:tc>
        <w:tc>
          <w:tcPr>
            <w:tcW w:w="25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Arial" w:hAnsi="Arial"/>
                <w:b/>
                <w:bCs/>
                <w:sz w:val="24"/>
                <w:szCs w:val="24"/>
                <w:lang w:eastAsia="hr-HR"/>
              </w:rPr>
              <w:t>djelomično</w:t>
            </w:r>
          </w:p>
        </w:tc>
        <w:tc>
          <w:tcPr>
            <w:tcW w:w="25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Arial" w:hAnsi="Arial"/>
                <w:b/>
                <w:bCs/>
                <w:sz w:val="24"/>
                <w:szCs w:val="24"/>
                <w:lang w:eastAsia="hr-HR"/>
              </w:rPr>
              <w:t>potrebno doraditi</w:t>
            </w:r>
          </w:p>
        </w:tc>
      </w:tr>
      <w:tr>
        <w:trPr>
          <w:trHeight w:val="549" w:hRule="atLeast"/>
        </w:trPr>
        <w:tc>
          <w:tcPr>
            <w:tcW w:w="17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7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Arial" w:hAnsi="Arial"/>
                <w:b/>
                <w:bCs/>
                <w:sz w:val="24"/>
                <w:szCs w:val="24"/>
              </w:rPr>
              <w:t>(3 boda)</w:t>
            </w:r>
          </w:p>
        </w:tc>
        <w:tc>
          <w:tcPr>
            <w:tcW w:w="25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Arial" w:hAnsi="Arial"/>
                <w:b/>
                <w:bCs/>
                <w:sz w:val="24"/>
                <w:szCs w:val="24"/>
              </w:rPr>
              <w:t>(2 boda)</w:t>
            </w:r>
          </w:p>
        </w:tc>
        <w:tc>
          <w:tcPr>
            <w:tcW w:w="25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Arial" w:hAnsi="Arial"/>
                <w:b/>
                <w:bCs/>
                <w:sz w:val="24"/>
                <w:szCs w:val="24"/>
              </w:rPr>
              <w:t>(1 bod)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b/>
                <w:bCs/>
                <w:sz w:val="24"/>
                <w:szCs w:val="24"/>
                <w:lang w:eastAsia="hr-HR"/>
              </w:rPr>
              <w:t>provedba praktičnog rada</w:t>
            </w:r>
          </w:p>
        </w:tc>
        <w:tc>
          <w:tcPr>
            <w:tcW w:w="25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 xml:space="preserve">Uvažava i slijedi upute na radnom listiću. </w:t>
            </w:r>
          </w:p>
        </w:tc>
        <w:tc>
          <w:tcPr>
            <w:tcW w:w="25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Djelomično uvažava i slijedi upute na radnom listiću.</w:t>
            </w:r>
          </w:p>
        </w:tc>
        <w:tc>
          <w:tcPr>
            <w:tcW w:w="25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Upute na radnom listiću slijedi uz veće pogreške ili nepravilnosti.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b/>
                <w:bCs/>
                <w:sz w:val="24"/>
                <w:szCs w:val="24"/>
                <w:lang w:eastAsia="hr-HR"/>
              </w:rPr>
              <w:t>prikaz rezultata</w:t>
            </w:r>
          </w:p>
        </w:tc>
        <w:tc>
          <w:tcPr>
            <w:tcW w:w="25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 xml:space="preserve">Rezultati praktičnog rada su točno i jasno prikazani tablično i/ili grafički te su opisani. </w:t>
            </w:r>
          </w:p>
        </w:tc>
        <w:tc>
          <w:tcPr>
            <w:tcW w:w="25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 xml:space="preserve">Rezultati praktičnog rada su uglavnom točno i jasno prikazani tablično i/ili grafički te su opisani. </w:t>
            </w:r>
          </w:p>
        </w:tc>
        <w:tc>
          <w:tcPr>
            <w:tcW w:w="25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 xml:space="preserve">Rezultati praktičnog rada su prikazani i opisani uz veće pogreške. </w:t>
            </w:r>
          </w:p>
        </w:tc>
      </w:tr>
      <w:tr>
        <w:trPr>
          <w:trHeight w:val="564" w:hRule="atLeast"/>
        </w:trPr>
        <w:tc>
          <w:tcPr>
            <w:tcW w:w="17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b/>
                <w:bCs/>
                <w:sz w:val="24"/>
                <w:szCs w:val="24"/>
                <w:lang w:eastAsia="hr-HR"/>
              </w:rPr>
              <w:t>obrada podataka</w:t>
            </w:r>
          </w:p>
        </w:tc>
        <w:tc>
          <w:tcPr>
            <w:tcW w:w="25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Zabilježeni su i obrađeni svi potrebni podaci. Rezultati opažanja opisani su kvalitetno i temeljito.</w:t>
            </w:r>
          </w:p>
        </w:tc>
        <w:tc>
          <w:tcPr>
            <w:tcW w:w="25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Zabilježena je i obrađena većina potrebnih podataka. Rezultati opažanja opisani su uz manje pogreške.</w:t>
            </w:r>
          </w:p>
        </w:tc>
        <w:tc>
          <w:tcPr>
            <w:tcW w:w="25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Zabilježeni su i obrađeni samo neki podaci i/ili prikupljeni podaci su obrađene uz veće pogreške. Rezultati opažanja su opisani uz veće pogreške.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b/>
                <w:bCs/>
                <w:sz w:val="24"/>
                <w:szCs w:val="24"/>
                <w:lang w:eastAsia="hr-HR"/>
              </w:rPr>
              <w:t>zaključak</w:t>
            </w:r>
          </w:p>
        </w:tc>
        <w:tc>
          <w:tcPr>
            <w:tcW w:w="25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Zaključak/zaključci se temelji na prikupljenim podacima i sadrži detaljno objašnjen odgovor na postavljeno istraživačko pitanje.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</w:r>
          </w:p>
        </w:tc>
        <w:tc>
          <w:tcPr>
            <w:tcW w:w="25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Zaključak/zaključci se uglavnom temelji na prikupljenim podacima i sadrži dobro objašnjen odgovor na postavljeno istraživačko pitanje.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</w:r>
          </w:p>
        </w:tc>
        <w:tc>
          <w:tcPr>
            <w:tcW w:w="25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Arial" w:hAnsi="Arial"/>
                <w:sz w:val="24"/>
                <w:szCs w:val="24"/>
                <w:lang w:eastAsia="hr-HR"/>
              </w:rPr>
              <w:t>Zaključak/zaključci se vrlo slabo temelji na prikupljenim podacima i/ili nije s njima povezan te sadrži šturo objašnjen odgovor na postavljeno istraživačko pitanje.</w:t>
            </w:r>
          </w:p>
        </w:tc>
      </w:tr>
      <w:tr>
        <w:trPr/>
        <w:tc>
          <w:tcPr>
            <w:tcW w:w="949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Calibri" w:cs="Calibri" w:ascii="Arial" w:hAnsi="Arial"/>
                <w:b/>
                <w:bCs/>
                <w:color w:val="0070C0"/>
                <w:sz w:val="24"/>
                <w:szCs w:val="24"/>
              </w:rPr>
              <w:t>Bodovi za ocjene: 13 - 15 = odličan (5); 10 - 12 = vrlo dobar (4); 7 - 9= dobar (3); 5 - 6 = dovoljan (2)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LIKOVNA KULTURA</w:t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7"/>
        <w:gridCol w:w="1939"/>
        <w:gridCol w:w="1938"/>
        <w:gridCol w:w="1938"/>
        <w:gridCol w:w="1940"/>
      </w:tblGrid>
      <w:tr>
        <w:trPr>
          <w:trHeight w:val="1417" w:hRule="atLeast"/>
        </w:trPr>
        <w:tc>
          <w:tcPr>
            <w:tcW w:w="130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  <w:r>
              <w:rPr/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775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>
          <w:trHeight w:val="1311" w:hRule="atLeast"/>
        </w:trPr>
        <w:tc>
          <w:tcPr>
            <w:tcW w:w="130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9" w:type="dxa"/>
            <w:tcBorders/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POTREBNA POMOĆ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(2)</w:t>
            </w:r>
          </w:p>
        </w:tc>
        <w:tc>
          <w:tcPr>
            <w:tcW w:w="193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POTREBNO DORADITI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(3)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tcBorders/>
            <w:shd w:color="auto" w:fill="2E74B5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DJELOMIČNO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(4)</w:t>
            </w:r>
          </w:p>
        </w:tc>
        <w:tc>
          <w:tcPr>
            <w:tcW w:w="1940" w:type="dxa"/>
            <w:tcBorders/>
            <w:shd w:color="auto" w:fill="1F4D78" w:themeFill="accent1" w:themeFillShade="7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U POTPUNOSTI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(5) </w:t>
            </w:r>
          </w:p>
        </w:tc>
      </w:tr>
      <w:tr>
        <w:trPr>
          <w:trHeight w:val="1134" w:hRule="atLeast"/>
        </w:trPr>
        <w:tc>
          <w:tcPr>
            <w:tcW w:w="13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originalnost</w:t>
            </w:r>
          </w:p>
        </w:tc>
        <w:tc>
          <w:tcPr>
            <w:tcW w:w="19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Likovni rad je načinjen na način koji sam već mnogo puta vidio/vidjela: ne postoje dijelovi koje ne koristi nitko drugi.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Likovni rad je načinjen djelomično različito od ostalih; rad sadrži nešto što ga razlikuje od drugih.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Likovni rad sadrži nekoliko dijelova koje nije koristio nitko drugi; rad se većim dijelom razlikuje od ostalih radova. </w:t>
            </w:r>
          </w:p>
        </w:tc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Likovni rad je posve različit od svih drugih; načinjen je neuobičajeno i neočekivano. </w:t>
            </w:r>
          </w:p>
        </w:tc>
      </w:tr>
      <w:tr>
        <w:trPr>
          <w:trHeight w:val="1134" w:hRule="atLeast"/>
        </w:trPr>
        <w:tc>
          <w:tcPr>
            <w:tcW w:w="13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uporaba likovne tehnike tempera</w:t>
            </w:r>
          </w:p>
        </w:tc>
        <w:tc>
          <w:tcPr>
            <w:tcW w:w="19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Boje su neprecizno umiješane, namaz je prerijedak/ pregust i neprecizan u odnosu na prikazani motiv.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Boje su tek djelomično precizno umiješane, nejednake gustoće i ne prate u potpunosti prikazani motiv.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Boje su uglavnom precizno umiješane, dovoljno guste, nanesene u ravnomjernom sloju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i prate prikaz motiva. </w:t>
            </w:r>
          </w:p>
        </w:tc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Boje su precizno umiješane, dobre gustoće, nanesene u ravnomjernom sloju i precizno oblikuju motiv.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</w:tr>
      <w:tr>
        <w:trPr>
          <w:trHeight w:val="4017" w:hRule="atLeast"/>
        </w:trPr>
        <w:tc>
          <w:tcPr>
            <w:tcW w:w="13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uporaba likovnog jezika</w:t>
            </w:r>
          </w:p>
        </w:tc>
        <w:tc>
          <w:tcPr>
            <w:tcW w:w="19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Teško se raspoznaju različiti tonovi boja te nije postignut dojam trodimenzionalnosti prikazanih oblika.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Vidljivo je nekoliko stupnjeva tonova boje, ali je tek na nekim mjestima stvoren dojam trodimenzionalnosti prikazanih oblika.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Vidljivo je više stupnjeva tonova boje koje se uglavnom nižu na Način da se stvara dojam trodimenzionalnosti prikazanih oblika. </w:t>
            </w:r>
          </w:p>
        </w:tc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Vidljivo je mnogo stupnjeva tonova boje koji se nižu na način da se stvara dojam trodimenzionalnosti prikazanih oblika. </w:t>
            </w:r>
          </w:p>
        </w:tc>
      </w:tr>
      <w:tr>
        <w:trPr>
          <w:trHeight w:val="3996" w:hRule="atLeast"/>
        </w:trPr>
        <w:tc>
          <w:tcPr>
            <w:tcW w:w="13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jasnoća izražene ideje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rPr/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Ideja u likovnom radu nije izražena jasno i vidljivo.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Ideja u likovnom radu izražena je tek djelomično jasno i vidljivo. </w:t>
            </w:r>
          </w:p>
        </w:tc>
        <w:tc>
          <w:tcPr>
            <w:tcW w:w="19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 xml:space="preserve">Ideja je u likovnom radu prepoznatljiva. </w:t>
            </w:r>
          </w:p>
        </w:tc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</w:rPr>
              <w:t>Ideja u likovnom radu izražena je potpuno jasno i vidljivo.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LIKOVNI RADOVI OCJENJIVAT ĆE SE FORMATIVNO</w:t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TZK</w:t>
      </w:r>
    </w:p>
    <w:p>
      <w:pPr>
        <w:pStyle w:val="Normal"/>
        <w:spacing w:lineRule="auto" w:line="254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Razine ostvarenosti kriterija  plakata/prezentacije (TZK)</w:t>
      </w:r>
    </w:p>
    <w:p>
      <w:pPr>
        <w:pStyle w:val="Normal"/>
        <w:spacing w:lineRule="auto" w:line="254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32"/>
          <w:szCs w:val="32"/>
        </w:rPr>
        <w:t>SUMATIVNO OCJENJIVANJE</w:t>
      </w:r>
    </w:p>
    <w:p>
      <w:pPr>
        <w:pStyle w:val="Normal"/>
        <w:spacing w:lineRule="auto" w:line="254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8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0"/>
        <w:gridCol w:w="2327"/>
        <w:gridCol w:w="2339"/>
        <w:gridCol w:w="2063"/>
      </w:tblGrid>
      <w:tr>
        <w:trPr>
          <w:trHeight w:val="491" w:hRule="atLeast"/>
        </w:trPr>
        <w:tc>
          <w:tcPr>
            <w:tcW w:w="2110" w:type="dxa"/>
            <w:vMerge w:val="restart"/>
            <w:tcBorders/>
            <w:shd w:color="auto" w:fill="7B7B7B" w:themeFill="accent3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6729" w:type="dxa"/>
            <w:gridSpan w:val="3"/>
            <w:tcBorders/>
            <w:shd w:color="auto" w:fill="7B7B7B" w:themeFill="accent3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KTITERIJI</w:t>
            </w:r>
          </w:p>
        </w:tc>
      </w:tr>
      <w:tr>
        <w:trPr>
          <w:trHeight w:val="412" w:hRule="atLeast"/>
        </w:trPr>
        <w:tc>
          <w:tcPr>
            <w:tcW w:w="2110" w:type="dxa"/>
            <w:vMerge w:val="continue"/>
            <w:tcBorders/>
            <w:shd w:color="auto" w:fill="7B7B7B" w:themeFill="accent3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/>
            <w:shd w:color="auto" w:fill="C9C9C9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prihvatljivo (3)</w:t>
            </w:r>
          </w:p>
        </w:tc>
        <w:tc>
          <w:tcPr>
            <w:tcW w:w="2339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dobro (4)</w:t>
            </w:r>
          </w:p>
        </w:tc>
        <w:tc>
          <w:tcPr>
            <w:tcW w:w="20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izuzetno (5)</w:t>
            </w:r>
          </w:p>
        </w:tc>
      </w:tr>
      <w:tr>
        <w:trPr>
          <w:trHeight w:val="1197" w:hRule="atLeast"/>
        </w:trPr>
        <w:tc>
          <w:tcPr>
            <w:tcW w:w="2110" w:type="dxa"/>
            <w:tcBorders/>
            <w:shd w:color="auto" w:fill="7B7B7B" w:themeFill="accent3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idejno rješenje plakata/prezentacije </w:t>
            </w:r>
          </w:p>
        </w:tc>
        <w:tc>
          <w:tcPr>
            <w:tcW w:w="2327" w:type="dxa"/>
            <w:tcBorders/>
            <w:shd w:color="auto" w:fill="C9C9C9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Nazire se idejno rješenje, ali ono nije sasvim provedeno. </w:t>
            </w:r>
          </w:p>
        </w:tc>
        <w:tc>
          <w:tcPr>
            <w:tcW w:w="2339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Idejno rješenje postoji, ali se ne ističe originalnošću. </w:t>
            </w:r>
          </w:p>
        </w:tc>
        <w:tc>
          <w:tcPr>
            <w:tcW w:w="20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Kreativno i originalno idejno rješenje. </w:t>
            </w:r>
          </w:p>
        </w:tc>
      </w:tr>
      <w:tr>
        <w:trPr>
          <w:trHeight w:val="3242" w:hRule="atLeast"/>
        </w:trPr>
        <w:tc>
          <w:tcPr>
            <w:tcW w:w="2110" w:type="dxa"/>
            <w:tcBorders/>
            <w:shd w:color="auto" w:fill="7B7B7B" w:themeFill="accent3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sadržaj (sportski) na plakatu/prezentaciji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(sportaš ili sport)</w:t>
            </w:r>
          </w:p>
        </w:tc>
        <w:tc>
          <w:tcPr>
            <w:tcW w:w="2327" w:type="dxa"/>
            <w:tcBorders/>
            <w:shd w:color="auto" w:fill="C9C9C9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informacije o: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</w:r>
          </w:p>
        </w:tc>
        <w:tc>
          <w:tcPr>
            <w:tcW w:w="2339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uglavnom relevantne informacije o: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</w:tc>
        <w:tc>
          <w:tcPr>
            <w:tcW w:w="20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 daje relevantne informacije o: 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*pravilima igre određenog sporta. </w:t>
            </w:r>
          </w:p>
        </w:tc>
      </w:tr>
      <w:tr>
        <w:trPr>
          <w:trHeight w:val="1449" w:hRule="atLeast"/>
        </w:trPr>
        <w:tc>
          <w:tcPr>
            <w:tcW w:w="2110" w:type="dxa"/>
            <w:tcBorders/>
            <w:shd w:color="auto" w:fill="7B7B7B" w:themeFill="accent3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kvaliteta fotografskih priloga i urednost plakata/prezentacije </w:t>
            </w:r>
          </w:p>
        </w:tc>
        <w:tc>
          <w:tcPr>
            <w:tcW w:w="2327" w:type="dxa"/>
            <w:tcBorders/>
            <w:shd w:color="auto" w:fill="C9C9C9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prihvatljive urednosti s fotografijama slabije kvalitete. </w:t>
            </w:r>
          </w:p>
        </w:tc>
        <w:tc>
          <w:tcPr>
            <w:tcW w:w="2339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osrednje uredan s dobrim fotografijama. </w:t>
            </w:r>
          </w:p>
        </w:tc>
        <w:tc>
          <w:tcPr>
            <w:tcW w:w="20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Plakat/prezentacija je sasvim uredan, a fotografije kvalitetne.</w:t>
            </w:r>
          </w:p>
        </w:tc>
      </w:tr>
    </w:tbl>
    <w:p>
      <w:pPr>
        <w:pStyle w:val="Normal"/>
        <w:spacing w:lineRule="auto" w:line="254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(aktivnost)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>SUMATIVNO OCJENJIVANJE</w:t>
      </w:r>
      <w:bookmarkStart w:id="1" w:name="_GoBack"/>
      <w:bookmarkEnd w:id="1"/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br/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Odličan (5)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t xml:space="preserve">    -      svaka obrađena pjesma popraćena ilustracijom </w:t>
        <w:br/>
        <w:t xml:space="preserve">    -       ilustracija uredna, precizna,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zadaća predana u dogovorenom vremenu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>-učenik pravilno primjenjuje znanje o notnom pismu ( glazbena abeceda, solimizacija, ritamski slogovi, note i njihov zapis)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- učenik  prepoznaje melodiju i izvođača ( na primjeru koji pripremi učitelj), točno i uredno realizira slušni dio (određuje dinamiku, tempo, izvođače, ugođaj) </w:t>
        <w:br/>
        <w:br/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Vrlo dobar (4)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t xml:space="preserve">    -      uglavnom svaka obrađena pjesma popraćena ilustracijom </w:t>
        <w:br/>
        <w:t xml:space="preserve">    -       ilustracija uredna, uz nešto manje detalja,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 zadaća nije predana više od jednog dana nakon dogovorenog vremena (3 puta)</w:t>
        <w:br/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Odličan (5)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t xml:space="preserve">     -      istražiti jedan instrument i o njemu napisati 6 do 8 rečenica i ilustrirati ga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(ili izraditi)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rad uredno napisan uz poštivanje pravopisne norme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zadaća predana u dogovorenom vremenu</w:t>
        <w:br/>
        <w:br/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Vrlo dobar (4)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t xml:space="preserve">     -      istražiti jedan instrument, napisati  5 rečenica i ilustracija nedovršena         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(ili izrađena)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rad uredan uz manje pravopisne greške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-      </w:t>
      </w:r>
      <w:r>
        <w:rPr>
          <w:rFonts w:eastAsia="Cambria" w:cs="Cambria" w:ascii="Cambria" w:hAnsi="Cambria"/>
          <w:sz w:val="24"/>
          <w:shd w:fill="FFFFFF" w:val="clear"/>
        </w:rPr>
        <w:t>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anifontodlomka1" w:customStyle="1">
    <w:name w:val="Zadani font odlomka1"/>
    <w:qFormat/>
    <w:rsid w:val="00bf4315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4315"/>
    <w:pPr>
      <w:spacing w:lineRule="auto" w:line="276" w:before="0" w:after="200"/>
      <w:ind w:left="720" w:hanging="0"/>
      <w:contextualSpacing/>
    </w:pPr>
    <w:rPr/>
  </w:style>
  <w:style w:type="paragraph" w:styleId="Sadrajitablice" w:customStyle="1">
    <w:name w:val="Sadržaji tablice"/>
    <w:basedOn w:val="Normal"/>
    <w:qFormat/>
    <w:rsid w:val="00bf4315"/>
    <w:pPr>
      <w:suppressLineNumbers/>
      <w:spacing w:lineRule="auto" w:line="276" w:before="0" w:after="2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f43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Grid11">
    <w:name w:val="Table Grid11"/>
    <w:basedOn w:val="TableNormal"/>
    <w:uiPriority w:val="39"/>
    <w:rsid w:val="00bf43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8</Pages>
  <Words>1601</Words>
  <Characters>9651</Characters>
  <CharactersWithSpaces>11377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2020-04-17T09:47:00Z</dcterms:created>
  <dc:creator>Windows User</dc:creator>
  <dc:description/>
  <dc:language>hr-HR</dc:language>
  <cp:lastModifiedBy>Korisnik</cp:lastModifiedBy>
  <dcterms:modified xsi:type="dcterms:W3CDTF">2020-04-17T09:47:00Z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